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仿宋_GBK" w:cs="方正仿宋_GBK"/>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肉品分割配送主体</w:t>
      </w:r>
      <w:r>
        <w:rPr>
          <w:rFonts w:hint="eastAsia" w:ascii="Times New Roman" w:hAnsi="Times New Roman" w:eastAsia="方正小标宋_GBK" w:cs="方正小标宋_GBK"/>
          <w:sz w:val="44"/>
          <w:szCs w:val="44"/>
          <w:lang w:eastAsia="zh-CN"/>
        </w:rPr>
        <w:t>自查表（参考样式）</w:t>
      </w:r>
    </w:p>
    <w:tbl>
      <w:tblPr>
        <w:tblStyle w:val="3"/>
        <w:tblW w:w="9700" w:type="dxa"/>
        <w:jc w:val="center"/>
        <w:tblLayout w:type="fixed"/>
        <w:tblCellMar>
          <w:top w:w="0" w:type="dxa"/>
          <w:left w:w="108" w:type="dxa"/>
          <w:bottom w:w="0" w:type="dxa"/>
          <w:right w:w="108" w:type="dxa"/>
        </w:tblCellMar>
      </w:tblPr>
      <w:tblGrid>
        <w:gridCol w:w="750"/>
        <w:gridCol w:w="6638"/>
        <w:gridCol w:w="1373"/>
        <w:gridCol w:w="939"/>
      </w:tblGrid>
      <w:tr>
        <w:tblPrEx>
          <w:tblCellMar>
            <w:top w:w="0" w:type="dxa"/>
            <w:left w:w="108" w:type="dxa"/>
            <w:bottom w:w="0" w:type="dxa"/>
            <w:right w:w="108" w:type="dxa"/>
          </w:tblCellMar>
        </w:tblPrEx>
        <w:trPr>
          <w:trHeight w:val="535" w:hRule="atLeast"/>
          <w:tblHeader/>
          <w:jc w:val="center"/>
        </w:trPr>
        <w:tc>
          <w:tcPr>
            <w:tcW w:w="750"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黑体_GBK" w:cs="方正黑体_GBK"/>
                <w:b w:val="0"/>
                <w:bCs/>
                <w:color w:val="000000"/>
                <w:kern w:val="0"/>
                <w:sz w:val="21"/>
                <w:szCs w:val="21"/>
              </w:rPr>
            </w:pPr>
            <w:r>
              <w:rPr>
                <w:rFonts w:hint="eastAsia" w:ascii="Times New Roman" w:hAnsi="Times New Roman" w:eastAsia="方正黑体_GBK" w:cs="方正黑体_GBK"/>
                <w:b w:val="0"/>
                <w:bCs/>
                <w:color w:val="000000"/>
                <w:kern w:val="0"/>
                <w:sz w:val="21"/>
                <w:szCs w:val="21"/>
              </w:rPr>
              <w:t>序号</w:t>
            </w:r>
          </w:p>
        </w:tc>
        <w:tc>
          <w:tcPr>
            <w:tcW w:w="6638"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黑体_GBK" w:cs="方正黑体_GBK"/>
                <w:b w:val="0"/>
                <w:bCs/>
                <w:color w:val="000000"/>
                <w:kern w:val="0"/>
                <w:sz w:val="21"/>
                <w:szCs w:val="21"/>
              </w:rPr>
            </w:pPr>
            <w:r>
              <w:rPr>
                <w:rFonts w:hint="eastAsia" w:ascii="Times New Roman" w:hAnsi="Times New Roman" w:eastAsia="方正黑体_GBK" w:cs="方正黑体_GBK"/>
                <w:b w:val="0"/>
                <w:bCs/>
                <w:color w:val="000000"/>
                <w:kern w:val="0"/>
                <w:sz w:val="21"/>
                <w:szCs w:val="21"/>
                <w:lang w:eastAsia="zh-CN"/>
              </w:rPr>
              <w:t>自查</w:t>
            </w:r>
            <w:r>
              <w:rPr>
                <w:rFonts w:hint="eastAsia" w:ascii="Times New Roman" w:hAnsi="Times New Roman" w:eastAsia="方正黑体_GBK" w:cs="方正黑体_GBK"/>
                <w:b w:val="0"/>
                <w:bCs/>
                <w:color w:val="000000"/>
                <w:kern w:val="0"/>
                <w:sz w:val="21"/>
                <w:szCs w:val="21"/>
              </w:rPr>
              <w:t>事项</w:t>
            </w:r>
          </w:p>
        </w:tc>
        <w:tc>
          <w:tcPr>
            <w:tcW w:w="13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黑体_GBK" w:cs="方正黑体_GBK"/>
                <w:b w:val="0"/>
                <w:bCs/>
                <w:color w:val="000000"/>
                <w:kern w:val="0"/>
                <w:sz w:val="21"/>
                <w:szCs w:val="21"/>
              </w:rPr>
            </w:pPr>
            <w:r>
              <w:rPr>
                <w:rFonts w:hint="eastAsia" w:ascii="Times New Roman" w:hAnsi="Times New Roman" w:eastAsia="方正黑体_GBK" w:cs="方正黑体_GBK"/>
                <w:b w:val="0"/>
                <w:bCs/>
                <w:color w:val="000000"/>
                <w:kern w:val="0"/>
                <w:sz w:val="21"/>
                <w:szCs w:val="21"/>
                <w:lang w:eastAsia="zh-CN"/>
              </w:rPr>
              <w:t>自查</w:t>
            </w:r>
            <w:r>
              <w:rPr>
                <w:rFonts w:hint="eastAsia" w:ascii="Times New Roman" w:hAnsi="Times New Roman" w:eastAsia="方正黑体_GBK" w:cs="方正黑体_GBK"/>
                <w:b w:val="0"/>
                <w:bCs/>
                <w:color w:val="000000"/>
                <w:kern w:val="0"/>
                <w:sz w:val="21"/>
                <w:szCs w:val="21"/>
              </w:rPr>
              <w:t>结果</w:t>
            </w:r>
          </w:p>
        </w:tc>
        <w:tc>
          <w:tcPr>
            <w:tcW w:w="939"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黑体_GBK" w:cs="方正黑体_GBK"/>
                <w:b w:val="0"/>
                <w:bCs/>
                <w:color w:val="000000"/>
                <w:kern w:val="0"/>
                <w:sz w:val="21"/>
                <w:szCs w:val="21"/>
              </w:rPr>
            </w:pPr>
            <w:r>
              <w:rPr>
                <w:rFonts w:hint="eastAsia" w:ascii="Times New Roman" w:hAnsi="Times New Roman" w:eastAsia="方正黑体_GBK" w:cs="方正黑体_GBK"/>
                <w:b w:val="0"/>
                <w:bCs/>
                <w:color w:val="000000"/>
                <w:kern w:val="0"/>
                <w:sz w:val="21"/>
                <w:szCs w:val="21"/>
              </w:rPr>
              <w:t>备注</w:t>
            </w: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1</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rPr>
              <w:t>持有营业执照并在有效期内</w:t>
            </w:r>
            <w:r>
              <w:rPr>
                <w:rFonts w:hint="eastAsia" w:ascii="Times New Roman" w:hAnsi="Times New Roman" w:eastAsia="方正仿宋_GBK" w:cs="方正仿宋_GBK"/>
                <w:color w:val="000000"/>
                <w:kern w:val="0"/>
                <w:sz w:val="21"/>
                <w:szCs w:val="21"/>
                <w:lang w:eastAsia="zh-CN"/>
              </w:rPr>
              <w:t>，营业执照地址应包含分割场所地址；经营范围包含“鲜肉批发”或“鲜肉零售”。</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2</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具有与其</w:t>
            </w:r>
            <w:r>
              <w:rPr>
                <w:rFonts w:hint="eastAsia" w:ascii="Times New Roman" w:hAnsi="Times New Roman" w:eastAsia="方正仿宋_GBK" w:cs="方正仿宋_GBK"/>
                <w:color w:val="000000"/>
                <w:kern w:val="0"/>
                <w:sz w:val="21"/>
                <w:szCs w:val="21"/>
                <w:lang w:eastAsia="zh-CN"/>
              </w:rPr>
              <w:t>分割</w:t>
            </w:r>
            <w:r>
              <w:rPr>
                <w:rFonts w:hint="eastAsia" w:ascii="Times New Roman" w:hAnsi="Times New Roman" w:eastAsia="方正仿宋_GBK" w:cs="方正仿宋_GBK"/>
                <w:color w:val="000000"/>
                <w:kern w:val="0"/>
                <w:sz w:val="21"/>
                <w:szCs w:val="21"/>
              </w:rPr>
              <w:t>数量相适应的</w:t>
            </w:r>
            <w:r>
              <w:rPr>
                <w:rFonts w:hint="eastAsia" w:ascii="Times New Roman" w:hAnsi="Times New Roman" w:eastAsia="方正仿宋_GBK" w:cs="方正仿宋_GBK"/>
                <w:color w:val="000000"/>
                <w:kern w:val="0"/>
                <w:sz w:val="21"/>
                <w:szCs w:val="21"/>
                <w:lang w:eastAsia="zh-CN"/>
              </w:rPr>
              <w:t>肉品分割</w:t>
            </w:r>
            <w:r>
              <w:rPr>
                <w:rFonts w:hint="eastAsia" w:ascii="Times New Roman" w:hAnsi="Times New Roman" w:eastAsia="方正仿宋_GBK" w:cs="方正仿宋_GBK"/>
                <w:color w:val="000000"/>
                <w:kern w:val="0"/>
                <w:sz w:val="21"/>
                <w:szCs w:val="21"/>
              </w:rPr>
              <w:t>场所，保持场所环境整洁，与有毒、有害场所以及其他污染源保持适当的距离，防止交叉污染。</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3</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配备必要的保温、冷藏或者冷冻等设施设备并保持有效运行。</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4</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rPr>
              <w:t>用水符合国家规定的生活饮用水卫生标准</w:t>
            </w:r>
            <w:r>
              <w:rPr>
                <w:rFonts w:hint="eastAsia" w:ascii="Times New Roman" w:hAnsi="Times New Roman" w:eastAsia="方正仿宋_GBK" w:cs="方正仿宋_GBK"/>
                <w:color w:val="000000"/>
                <w:kern w:val="0"/>
                <w:sz w:val="21"/>
                <w:szCs w:val="21"/>
                <w:lang w:eastAsia="zh-CN"/>
              </w:rPr>
              <w:t>。</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5</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auto"/>
                <w:kern w:val="0"/>
                <w:sz w:val="21"/>
                <w:szCs w:val="21"/>
                <w:lang w:eastAsia="zh-CN"/>
              </w:rPr>
              <w:t>使用的刀具、容器、操作台、案板等，应</w:t>
            </w:r>
            <w:r>
              <w:rPr>
                <w:rFonts w:hint="eastAsia" w:ascii="Times New Roman" w:hAnsi="Times New Roman" w:eastAsia="方正仿宋_GBK" w:cs="方正仿宋_GBK"/>
                <w:color w:val="auto"/>
                <w:kern w:val="0"/>
                <w:sz w:val="21"/>
                <w:szCs w:val="21"/>
                <w:lang w:val="en-US" w:eastAsia="zh-CN"/>
              </w:rPr>
              <w:t>进行清洗消毒。</w:t>
            </w:r>
            <w:r>
              <w:rPr>
                <w:rFonts w:hint="eastAsia" w:ascii="Times New Roman" w:hAnsi="Times New Roman" w:eastAsia="方正仿宋_GBK" w:cs="方正仿宋_GBK"/>
                <w:color w:val="auto"/>
                <w:kern w:val="0"/>
                <w:sz w:val="21"/>
                <w:szCs w:val="21"/>
              </w:rPr>
              <w:t>使用的洗涤剂、消毒剂对人体安全、无害。</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6</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方正仿宋_GBK" w:cs="方正仿宋_GBK"/>
                <w:color w:val="000000"/>
                <w:kern w:val="0"/>
                <w:sz w:val="21"/>
                <w:szCs w:val="21"/>
                <w:lang w:val="en-US" w:eastAsia="zh-CN" w:bidi="ar-SA"/>
              </w:rPr>
            </w:pPr>
            <w:r>
              <w:rPr>
                <w:rFonts w:hint="eastAsia" w:ascii="Times New Roman" w:hAnsi="Times New Roman" w:eastAsia="方正仿宋_GBK" w:cs="方正仿宋_GBK"/>
                <w:color w:val="000000"/>
                <w:kern w:val="0"/>
                <w:sz w:val="21"/>
                <w:szCs w:val="21"/>
                <w:lang w:eastAsia="zh-CN"/>
              </w:rPr>
              <w:t>具有食品安全管理制度。</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bidi="ar-SA"/>
              </w:rPr>
            </w:pPr>
            <w:r>
              <w:rPr>
                <w:rFonts w:hint="eastAsia" w:ascii="Times New Roman" w:hAnsi="Times New Roman" w:eastAsia="方正仿宋_GBK" w:cs="方正仿宋_GBK"/>
                <w:color w:val="000000"/>
                <w:kern w:val="0"/>
                <w:sz w:val="21"/>
                <w:szCs w:val="21"/>
              </w:rPr>
              <w:t>□合理缺项</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bidi="ar-SA"/>
              </w:rPr>
            </w:pPr>
            <w:r>
              <w:rPr>
                <w:rFonts w:hint="eastAsia" w:ascii="Times New Roman" w:hAnsi="Times New Roman" w:eastAsia="方正仿宋_GBK" w:cs="方正仿宋_GBK"/>
                <w:color w:val="000000"/>
                <w:kern w:val="0"/>
                <w:sz w:val="21"/>
                <w:szCs w:val="21"/>
                <w:lang w:eastAsia="zh-CN"/>
              </w:rPr>
              <w:t>企业</w:t>
            </w: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7</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方正仿宋_GBK" w:cs="方正仿宋_GBK"/>
                <w:color w:val="000000"/>
                <w:kern w:val="0"/>
                <w:sz w:val="21"/>
                <w:szCs w:val="21"/>
                <w:lang w:val="zh-CN" w:eastAsia="zh-CN"/>
              </w:rPr>
            </w:pPr>
            <w:r>
              <w:rPr>
                <w:rFonts w:hint="eastAsia" w:ascii="Times New Roman" w:hAnsi="Times New Roman" w:eastAsia="方正仿宋_GBK" w:cs="方正仿宋_GBK"/>
                <w:color w:val="000000"/>
                <w:kern w:val="0"/>
                <w:sz w:val="21"/>
                <w:szCs w:val="21"/>
                <w:lang w:eastAsia="zh-CN"/>
              </w:rPr>
              <w:t>企业主要负责人落实企业食品安全管理制度，对本企业的食品安全工作全面负责。</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rPr>
              <w:t>□合理缺项</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企业</w:t>
            </w: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8</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方正仿宋_GBK" w:cs="方正仿宋_GBK"/>
                <w:color w:val="000000"/>
                <w:kern w:val="0"/>
                <w:sz w:val="21"/>
                <w:szCs w:val="21"/>
                <w:lang w:val="zh-CN" w:eastAsia="zh-CN"/>
              </w:rPr>
            </w:pPr>
            <w:r>
              <w:rPr>
                <w:rFonts w:hint="eastAsia" w:ascii="Times New Roman" w:hAnsi="Times New Roman" w:eastAsia="方正仿宋_GBK" w:cs="方正仿宋_GBK"/>
                <w:color w:val="000000"/>
                <w:kern w:val="0"/>
                <w:sz w:val="21"/>
                <w:szCs w:val="21"/>
                <w:lang w:eastAsia="zh-CN"/>
              </w:rPr>
              <w:t>配备食品安全管理人员，对其开展培训和考核。食品安全管理人员经考核并具备食品安全管理能力。</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rPr>
              <w:t>□合理缺项</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企业</w:t>
            </w: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9</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Times New Roman" w:hAnsi="Times New Roman" w:eastAsia="方正仿宋_GBK" w:cs="方正仿宋_GBK"/>
                <w:color w:val="000000"/>
                <w:kern w:val="0"/>
                <w:sz w:val="21"/>
                <w:szCs w:val="21"/>
                <w:lang w:val="zh-CN" w:eastAsia="zh-CN"/>
              </w:rPr>
            </w:pPr>
            <w:r>
              <w:rPr>
                <w:rFonts w:hint="eastAsia" w:ascii="Times New Roman" w:hAnsi="Times New Roman" w:eastAsia="方正仿宋_GBK" w:cs="方正仿宋_GBK"/>
                <w:color w:val="000000"/>
                <w:kern w:val="0"/>
                <w:sz w:val="21"/>
                <w:szCs w:val="21"/>
                <w:lang w:eastAsia="zh-CN"/>
              </w:rPr>
              <w:t>对职工进行食品安全知识培训。</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rPr>
              <w:t>□合理缺项</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企业</w:t>
            </w: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10</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rPr>
              <w:t>建立并落实进货查验记录制度，索取并留存动物检疫合格证明、肉品品质检验合格证等证明文件</w:t>
            </w:r>
            <w:r>
              <w:rPr>
                <w:rFonts w:hint="eastAsia" w:ascii="Times New Roman" w:hAnsi="Times New Roman" w:eastAsia="方正仿宋_GBK" w:cs="方正仿宋_GBK"/>
                <w:color w:val="000000"/>
                <w:kern w:val="0"/>
                <w:sz w:val="21"/>
                <w:szCs w:val="21"/>
                <w:lang w:eastAsia="zh-CN"/>
              </w:rPr>
              <w:t>，</w:t>
            </w:r>
            <w:r>
              <w:rPr>
                <w:rFonts w:hint="eastAsia" w:ascii="Times New Roman" w:hAnsi="Times New Roman" w:eastAsia="方正仿宋_GBK" w:cs="方正仿宋_GBK"/>
                <w:color w:val="000000"/>
                <w:kern w:val="0"/>
                <w:sz w:val="21"/>
                <w:szCs w:val="21"/>
                <w:lang w:val="zh-CN"/>
              </w:rPr>
              <w:t>记录和凭证保存期限不得少于</w:t>
            </w:r>
            <w:r>
              <w:rPr>
                <w:rFonts w:hint="eastAsia" w:ascii="Times New Roman" w:hAnsi="Times New Roman" w:eastAsia="方正仿宋_GBK" w:cs="方正仿宋_GBK"/>
                <w:color w:val="000000"/>
                <w:kern w:val="0"/>
                <w:sz w:val="21"/>
                <w:szCs w:val="21"/>
              </w:rPr>
              <w:t>六</w:t>
            </w:r>
            <w:r>
              <w:rPr>
                <w:rFonts w:hint="eastAsia" w:ascii="Times New Roman" w:hAnsi="Times New Roman" w:eastAsia="方正仿宋_GBK" w:cs="方正仿宋_GBK"/>
                <w:color w:val="000000"/>
                <w:kern w:val="0"/>
                <w:sz w:val="21"/>
                <w:szCs w:val="21"/>
                <w:lang w:val="zh-CN"/>
              </w:rPr>
              <w:t>个月。</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11</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建立食用农产品销售记录制度，记录和凭证保存期限不得少于六个月。</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2"/>
                <w:sz w:val="21"/>
                <w:szCs w:val="21"/>
                <w:lang w:val="en-US" w:eastAsia="zh-CN" w:bidi="ar-SA"/>
              </w:rPr>
            </w:pPr>
            <w:r>
              <w:rPr>
                <w:rFonts w:hint="eastAsia" w:ascii="Times New Roman" w:hAnsi="Times New Roman" w:eastAsia="方正仿宋_GBK" w:cs="方正仿宋_GBK"/>
                <w:color w:val="000000"/>
                <w:kern w:val="0"/>
                <w:sz w:val="21"/>
                <w:szCs w:val="21"/>
              </w:rPr>
              <w:t>□合理缺项</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企业</w:t>
            </w: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auto"/>
                <w:kern w:val="0"/>
                <w:sz w:val="21"/>
                <w:szCs w:val="21"/>
                <w:lang w:val="en-US" w:eastAsia="zh-CN"/>
              </w:rPr>
            </w:pPr>
            <w:r>
              <w:rPr>
                <w:rFonts w:hint="eastAsia" w:ascii="Times New Roman" w:hAnsi="Times New Roman" w:eastAsia="方正仿宋_GBK" w:cs="方正仿宋_GBK"/>
                <w:color w:val="auto"/>
                <w:kern w:val="0"/>
                <w:sz w:val="21"/>
                <w:szCs w:val="21"/>
                <w:lang w:val="en-US" w:eastAsia="zh-CN"/>
              </w:rPr>
              <w:t>12</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auto"/>
                <w:kern w:val="0"/>
                <w:sz w:val="21"/>
                <w:szCs w:val="21"/>
              </w:rPr>
            </w:pPr>
            <w:r>
              <w:rPr>
                <w:rFonts w:hint="eastAsia" w:ascii="Times New Roman" w:hAnsi="Times New Roman" w:eastAsia="方正仿宋_GBK" w:cs="方正仿宋_GBK"/>
                <w:color w:val="auto"/>
                <w:kern w:val="0"/>
                <w:sz w:val="21"/>
                <w:szCs w:val="21"/>
              </w:rPr>
              <w:t>及时清理腐败变质、油脂酸败、霉变生虫或者感官性状异常的</w:t>
            </w:r>
            <w:r>
              <w:rPr>
                <w:rFonts w:hint="eastAsia" w:ascii="Times New Roman" w:hAnsi="Times New Roman" w:eastAsia="方正仿宋_GBK" w:cs="方正仿宋_GBK"/>
                <w:color w:val="auto"/>
                <w:kern w:val="0"/>
                <w:sz w:val="21"/>
                <w:szCs w:val="21"/>
                <w:lang w:eastAsia="zh-CN"/>
              </w:rPr>
              <w:t>肉</w:t>
            </w:r>
            <w:r>
              <w:rPr>
                <w:rFonts w:hint="eastAsia" w:ascii="Times New Roman" w:hAnsi="Times New Roman" w:eastAsia="方正仿宋_GBK" w:cs="方正仿宋_GBK"/>
                <w:color w:val="auto"/>
                <w:kern w:val="0"/>
                <w:sz w:val="21"/>
                <w:szCs w:val="21"/>
              </w:rPr>
              <w:t>品。</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auto"/>
                <w:kern w:val="0"/>
                <w:sz w:val="21"/>
                <w:szCs w:val="21"/>
              </w:rPr>
            </w:pPr>
            <w:r>
              <w:rPr>
                <w:rFonts w:hint="eastAsia" w:ascii="Times New Roman" w:hAnsi="Times New Roman" w:eastAsia="方正仿宋_GBK" w:cs="方正仿宋_GBK"/>
                <w:color w:val="auto"/>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auto"/>
                <w:kern w:val="0"/>
                <w:sz w:val="21"/>
                <w:szCs w:val="21"/>
              </w:rPr>
            </w:pPr>
          </w:p>
        </w:tc>
      </w:tr>
      <w:tr>
        <w:tblPrEx>
          <w:tblCellMar>
            <w:top w:w="0" w:type="dxa"/>
            <w:left w:w="108" w:type="dxa"/>
            <w:bottom w:w="0" w:type="dxa"/>
            <w:right w:w="108" w:type="dxa"/>
          </w:tblCellMar>
        </w:tblPrEx>
        <w:trPr>
          <w:trHeight w:val="284"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13</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未发现经营、采购、使用有下列情形的生猪产品：</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（一）没有检疫、检验合格证明的；</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（二）腐败变质、污秽不洁或者有其他感官性状异常可能对人体健康有害的；</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（三）非法屠宰厂（场）生产的；</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（四）注水或者注入、涂抹了有毒、有害物质的；</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lang w:eastAsia="zh-CN"/>
              </w:rPr>
              <w:t>（五）法律、法规规定的有其他不得流通情形的生猪产品。</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284"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14</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运输车辆应符合保障食品安全所需的温度、湿度等特殊要求。</w:t>
            </w:r>
            <w:r>
              <w:rPr>
                <w:rFonts w:hint="eastAsia" w:ascii="Times New Roman" w:hAnsi="Times New Roman" w:eastAsia="方正仿宋_GBK" w:cs="方正仿宋_GBK"/>
                <w:color w:val="000000"/>
                <w:kern w:val="0"/>
                <w:sz w:val="21"/>
                <w:szCs w:val="21"/>
              </w:rPr>
              <w:t>运输容器、工具和设备安全无害，保持清洁，防止污染，未将</w:t>
            </w:r>
            <w:r>
              <w:rPr>
                <w:rFonts w:hint="eastAsia" w:ascii="Times New Roman" w:hAnsi="Times New Roman" w:eastAsia="方正仿宋_GBK" w:cs="方正仿宋_GBK"/>
                <w:color w:val="000000"/>
                <w:kern w:val="0"/>
                <w:sz w:val="21"/>
                <w:szCs w:val="21"/>
                <w:lang w:eastAsia="zh-CN"/>
              </w:rPr>
              <w:t>肉品</w:t>
            </w:r>
            <w:r>
              <w:rPr>
                <w:rFonts w:hint="eastAsia" w:ascii="Times New Roman" w:hAnsi="Times New Roman" w:eastAsia="方正仿宋_GBK" w:cs="方正仿宋_GBK"/>
                <w:color w:val="000000"/>
                <w:kern w:val="0"/>
                <w:sz w:val="21"/>
                <w:szCs w:val="21"/>
              </w:rPr>
              <w:t>与有毒、有害物品一同运输。</w:t>
            </w:r>
            <w:r>
              <w:rPr>
                <w:rFonts w:hint="eastAsia" w:ascii="Times New Roman" w:hAnsi="Times New Roman" w:eastAsia="方正仿宋_GBK" w:cs="方正仿宋_GBK"/>
                <w:color w:val="auto"/>
                <w:kern w:val="0"/>
                <w:sz w:val="21"/>
                <w:szCs w:val="21"/>
                <w:lang w:eastAsia="zh-CN"/>
              </w:rPr>
              <w:t>运输工具应保持清洁卫生，使用前后进行彻底清洗消毒。</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284"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15</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委托运输</w:t>
            </w:r>
            <w:r>
              <w:rPr>
                <w:rFonts w:hint="eastAsia" w:ascii="Times New Roman" w:hAnsi="Times New Roman" w:eastAsia="方正仿宋_GBK" w:cs="方正仿宋_GBK"/>
                <w:color w:val="000000"/>
                <w:kern w:val="0"/>
                <w:sz w:val="21"/>
                <w:szCs w:val="21"/>
                <w:lang w:eastAsia="zh-CN"/>
              </w:rPr>
              <w:t>肉品</w:t>
            </w:r>
            <w:r>
              <w:rPr>
                <w:rFonts w:hint="eastAsia" w:ascii="Times New Roman" w:hAnsi="Times New Roman" w:eastAsia="方正仿宋_GBK" w:cs="方正仿宋_GBK"/>
                <w:color w:val="000000"/>
                <w:kern w:val="0"/>
                <w:sz w:val="21"/>
                <w:szCs w:val="21"/>
              </w:rPr>
              <w:t>的，对承运人的食品安全保障能力进行审核，并监督承运人</w:t>
            </w:r>
            <w:r>
              <w:rPr>
                <w:rFonts w:hint="eastAsia" w:ascii="Times New Roman" w:hAnsi="Times New Roman" w:eastAsia="方正仿宋_GBK" w:cs="方正仿宋_GBK"/>
                <w:color w:val="000000"/>
                <w:kern w:val="0"/>
                <w:sz w:val="21"/>
                <w:szCs w:val="21"/>
                <w:lang w:eastAsia="zh-CN"/>
              </w:rPr>
              <w:t>按照保证食品安全的要求</w:t>
            </w:r>
            <w:r>
              <w:rPr>
                <w:rFonts w:hint="eastAsia" w:ascii="Times New Roman" w:hAnsi="Times New Roman" w:eastAsia="方正仿宋_GBK" w:cs="方正仿宋_GBK"/>
                <w:color w:val="000000"/>
                <w:kern w:val="0"/>
                <w:sz w:val="21"/>
                <w:szCs w:val="21"/>
              </w:rPr>
              <w:t>运输，如实记录委托方的名称或者姓名、地址、联系方式等内容，记录保存期限不得少于运输结束后二年。</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□合理缺项</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567"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16</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建立食用农产品质量安全自查制度，定期对食用农产品质量安全状况进行检查评价</w:t>
            </w:r>
            <w:r>
              <w:rPr>
                <w:rFonts w:hint="eastAsia" w:ascii="Times New Roman" w:hAnsi="Times New Roman" w:eastAsia="方正仿宋_GBK" w:cs="方正仿宋_GBK"/>
                <w:color w:val="000000"/>
                <w:kern w:val="0"/>
                <w:sz w:val="21"/>
                <w:szCs w:val="21"/>
                <w:lang w:eastAsia="zh-CN"/>
              </w:rPr>
              <w:t>，</w:t>
            </w:r>
            <w:r>
              <w:rPr>
                <w:rFonts w:hint="eastAsia" w:ascii="Times New Roman" w:hAnsi="Times New Roman" w:eastAsia="方正仿宋_GBK" w:cs="方正仿宋_GBK"/>
                <w:color w:val="000000"/>
                <w:kern w:val="0"/>
                <w:sz w:val="21"/>
                <w:szCs w:val="21"/>
              </w:rPr>
              <w:t>发现安全隐患立即停止销售并采取整改措施。</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284"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17</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rPr>
              <w:t>发现销售的食用农产品不符合食品安全标准或者有证据证明可能危害人体健康的，立即停止销售。对停止销售的食用农产品，按照要求采取无害化处理、销毁等措施，防止其再次流入市场。召回和处理情况向所在地县级市场监</w:t>
            </w:r>
            <w:r>
              <w:rPr>
                <w:rFonts w:hint="eastAsia" w:ascii="Times New Roman" w:hAnsi="Times New Roman" w:eastAsia="方正仿宋_GBK" w:cs="方正仿宋_GBK"/>
                <w:color w:val="000000"/>
                <w:kern w:val="0"/>
                <w:sz w:val="21"/>
                <w:szCs w:val="21"/>
                <w:lang w:eastAsia="zh-CN"/>
              </w:rPr>
              <w:t>督</w:t>
            </w:r>
            <w:r>
              <w:rPr>
                <w:rFonts w:hint="eastAsia" w:ascii="Times New Roman" w:hAnsi="Times New Roman" w:eastAsia="方正仿宋_GBK" w:cs="方正仿宋_GBK"/>
                <w:color w:val="000000"/>
                <w:kern w:val="0"/>
                <w:sz w:val="21"/>
                <w:szCs w:val="21"/>
              </w:rPr>
              <w:t>管</w:t>
            </w:r>
            <w:r>
              <w:rPr>
                <w:rFonts w:hint="eastAsia" w:ascii="Times New Roman" w:hAnsi="Times New Roman" w:eastAsia="方正仿宋_GBK" w:cs="方正仿宋_GBK"/>
                <w:color w:val="000000"/>
                <w:kern w:val="0"/>
                <w:sz w:val="21"/>
                <w:szCs w:val="21"/>
                <w:lang w:eastAsia="zh-CN"/>
              </w:rPr>
              <w:t>理</w:t>
            </w:r>
            <w:r>
              <w:rPr>
                <w:rFonts w:hint="eastAsia" w:ascii="Times New Roman" w:hAnsi="Times New Roman" w:eastAsia="方正仿宋_GBK" w:cs="方正仿宋_GBK"/>
                <w:color w:val="000000"/>
                <w:kern w:val="0"/>
                <w:sz w:val="21"/>
                <w:szCs w:val="21"/>
              </w:rPr>
              <w:t>部门报告</w:t>
            </w:r>
            <w:r>
              <w:rPr>
                <w:rFonts w:hint="eastAsia" w:ascii="Times New Roman" w:hAnsi="Times New Roman" w:eastAsia="方正仿宋_GBK" w:cs="方正仿宋_GBK"/>
                <w:color w:val="000000"/>
                <w:kern w:val="0"/>
                <w:sz w:val="21"/>
                <w:szCs w:val="21"/>
                <w:lang w:eastAsia="zh-CN"/>
              </w:rPr>
              <w:t>。</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sz w:val="21"/>
                <w:szCs w:val="21"/>
              </w:rPr>
              <w:t>□是 □否</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p>
        </w:tc>
      </w:tr>
      <w:tr>
        <w:tblPrEx>
          <w:tblCellMar>
            <w:top w:w="0" w:type="dxa"/>
            <w:left w:w="108" w:type="dxa"/>
            <w:bottom w:w="0" w:type="dxa"/>
            <w:right w:w="108" w:type="dxa"/>
          </w:tblCellMar>
        </w:tblPrEx>
        <w:trPr>
          <w:trHeight w:val="284" w:hRule="atLeast"/>
          <w:jc w:val="center"/>
        </w:trPr>
        <w:tc>
          <w:tcPr>
            <w:tcW w:w="75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方正仿宋_GBK" w:cs="方正仿宋_GBK"/>
                <w:color w:val="000000"/>
                <w:kern w:val="0"/>
                <w:sz w:val="21"/>
                <w:szCs w:val="21"/>
                <w:lang w:val="en-US" w:eastAsia="zh-CN"/>
              </w:rPr>
            </w:pPr>
            <w:r>
              <w:rPr>
                <w:rFonts w:hint="eastAsia" w:ascii="Times New Roman" w:hAnsi="Times New Roman" w:eastAsia="方正仿宋_GBK" w:cs="方正仿宋_GBK"/>
                <w:color w:val="000000"/>
                <w:kern w:val="0"/>
                <w:sz w:val="21"/>
                <w:szCs w:val="21"/>
                <w:lang w:val="en-US" w:eastAsia="zh-CN"/>
              </w:rPr>
              <w:t>18</w:t>
            </w:r>
          </w:p>
        </w:tc>
        <w:tc>
          <w:tcPr>
            <w:tcW w:w="6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rPr>
              <w:t>具有食品安全事故处置方案</w:t>
            </w:r>
            <w:r>
              <w:rPr>
                <w:rFonts w:hint="eastAsia" w:ascii="Times New Roman" w:hAnsi="Times New Roman" w:eastAsia="方正仿宋_GBK" w:cs="方正仿宋_GBK"/>
                <w:color w:val="000000"/>
                <w:kern w:val="0"/>
                <w:sz w:val="21"/>
                <w:szCs w:val="21"/>
                <w:lang w:eastAsia="zh-CN"/>
              </w:rPr>
              <w:t>，定期检查本企业各项食品安全防范措施的落实情况，及时消除事故隐患。自查发现食品安全事故潜在风险时，立即停止经营活动，并向所在地县级市场监管部门报告。</w:t>
            </w:r>
          </w:p>
        </w:tc>
        <w:tc>
          <w:tcPr>
            <w:tcW w:w="13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□是 □否</w:t>
            </w:r>
          </w:p>
          <w:p>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kern w:val="0"/>
                <w:sz w:val="21"/>
                <w:szCs w:val="21"/>
              </w:rPr>
              <w:t>□合理缺项</w:t>
            </w:r>
          </w:p>
        </w:tc>
        <w:tc>
          <w:tcPr>
            <w:tcW w:w="93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lang w:eastAsia="zh-CN"/>
              </w:rPr>
            </w:pPr>
            <w:r>
              <w:rPr>
                <w:rFonts w:hint="eastAsia" w:ascii="Times New Roman" w:hAnsi="Times New Roman" w:eastAsia="方正仿宋_GBK" w:cs="方正仿宋_GBK"/>
                <w:color w:val="000000"/>
                <w:kern w:val="0"/>
                <w:sz w:val="21"/>
                <w:szCs w:val="21"/>
                <w:lang w:eastAsia="zh-CN"/>
              </w:rPr>
              <w:t>企业</w:t>
            </w:r>
          </w:p>
        </w:tc>
      </w:tr>
      <w:tr>
        <w:tblPrEx>
          <w:tblCellMar>
            <w:top w:w="0" w:type="dxa"/>
            <w:left w:w="108" w:type="dxa"/>
            <w:bottom w:w="0" w:type="dxa"/>
            <w:right w:w="108" w:type="dxa"/>
          </w:tblCellMar>
        </w:tblPrEx>
        <w:trPr>
          <w:trHeight w:val="5434" w:hRule="atLeast"/>
          <w:jc w:val="center"/>
        </w:trPr>
        <w:tc>
          <w:tcPr>
            <w:tcW w:w="9700"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Times New Roman" w:hAnsi="Times New Roman" w:eastAsia="方正仿宋_GBK" w:cs="方正仿宋_GBK"/>
                <w:color w:val="000000"/>
                <w:kern w:val="0"/>
                <w:sz w:val="21"/>
                <w:szCs w:val="21"/>
              </w:rPr>
            </w:pPr>
            <w:r>
              <w:rPr>
                <w:rFonts w:hint="eastAsia" w:ascii="Times New Roman" w:hAnsi="Times New Roman" w:eastAsia="方正仿宋_GBK" w:cs="方正仿宋_GBK"/>
                <w:color w:val="000000"/>
                <w:sz w:val="21"/>
                <w:szCs w:val="21"/>
              </w:rPr>
              <w:t>其他需要记录的问题：</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55D24"/>
    <w:rsid w:val="62C55D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2025-12-22T08:22:00Z</dcterms:created>
  <dc:creator>叶菲</dc:creator>
  <cp:lastModifiedBy>叶菲</cp:lastModifiedBy>
  <dcterms:modified xsi:type="dcterms:W3CDTF">2025-12-22T08:23:10Z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