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32"/>
          <w:szCs w:val="32"/>
          <w:lang w:eastAsia="zh-CN"/>
          <w14:textFill>
            <w14:solidFill>
              <w14:schemeClr w14:val="tx1"/>
            </w14:solidFill>
          </w14:textFill>
        </w:rPr>
        <w:t>附件</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8</w:t>
      </w:r>
    </w:p>
    <w:p>
      <w:pPr>
        <w:spacing w:line="600" w:lineRule="exact"/>
        <w:jc w:val="left"/>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pPr>
      <w:bookmarkStart w:id="3" w:name="_GoBack"/>
      <w:bookmarkEnd w:id="3"/>
    </w:p>
    <w:p>
      <w:pPr>
        <w:spacing w:line="600" w:lineRule="exact"/>
        <w:jc w:val="center"/>
        <w:rPr>
          <w:bCs/>
          <w:color w:val="000000" w:themeColor="text1"/>
          <w:sz w:val="44"/>
          <w:szCs w:val="44"/>
          <w14:textFill>
            <w14:solidFill>
              <w14:schemeClr w14:val="tx1"/>
            </w14:solidFill>
          </w14:textFill>
        </w:rPr>
      </w:pPr>
      <w:r>
        <w:rPr>
          <w:bCs/>
          <w:color w:val="000000" w:themeColor="text1"/>
          <w:sz w:val="44"/>
          <w:szCs w:val="44"/>
          <w14:textFill>
            <w14:solidFill>
              <w14:schemeClr w14:val="tx1"/>
            </w14:solidFill>
          </w14:textFill>
        </w:rPr>
        <w:t>广州市“食在广州”评价认证</w:t>
      </w:r>
      <w:r>
        <w:rPr>
          <w:rFonts w:hint="eastAsia"/>
          <w:bCs/>
          <w:color w:val="000000" w:themeColor="text1"/>
          <w:sz w:val="44"/>
          <w:szCs w:val="44"/>
          <w14:textFill>
            <w14:solidFill>
              <w14:schemeClr w14:val="tx1"/>
            </w14:solidFill>
          </w14:textFill>
        </w:rPr>
        <w:t>实施指引</w:t>
      </w:r>
    </w:p>
    <w:p>
      <w:pPr>
        <w:spacing w:line="600" w:lineRule="exact"/>
        <w:jc w:val="center"/>
        <w:rPr>
          <w:bCs/>
          <w:szCs w:val="32"/>
        </w:rPr>
      </w:pPr>
      <w:r>
        <w:rPr>
          <w:bCs/>
          <w:szCs w:val="32"/>
        </w:rPr>
        <w:t>（预包装食品类：</w:t>
      </w:r>
      <w:r>
        <w:rPr>
          <w:rFonts w:hint="eastAsia"/>
          <w:bCs/>
          <w:szCs w:val="32"/>
        </w:rPr>
        <w:t>小麦粉</w:t>
      </w:r>
      <w:r>
        <w:rPr>
          <w:bCs/>
          <w:szCs w:val="32"/>
        </w:rPr>
        <w:t>）</w:t>
      </w:r>
    </w:p>
    <w:p>
      <w:pPr>
        <w:spacing w:line="600" w:lineRule="exact"/>
        <w:jc w:val="center"/>
        <w:rPr>
          <w:bCs/>
          <w:szCs w:val="32"/>
        </w:rPr>
      </w:pPr>
    </w:p>
    <w:p>
      <w:pPr>
        <w:spacing w:line="600" w:lineRule="exact"/>
        <w:ind w:firstLine="629" w:firstLineChars="196"/>
        <w:rPr>
          <w:b/>
          <w:bCs/>
          <w:color w:val="000000" w:themeColor="text1"/>
          <w:szCs w:val="32"/>
          <w14:textFill>
            <w14:solidFill>
              <w14:schemeClr w14:val="tx1"/>
            </w14:solidFill>
          </w14:textFill>
        </w:rPr>
      </w:pPr>
      <w:r>
        <w:rPr>
          <w:b/>
          <w:bCs/>
          <w:color w:val="000000" w:themeColor="text1"/>
          <w:szCs w:val="32"/>
          <w14:textFill>
            <w14:solidFill>
              <w14:schemeClr w14:val="tx1"/>
            </w14:solidFill>
          </w14:textFill>
        </w:rPr>
        <w:t>一、认证产品范围</w:t>
      </w:r>
    </w:p>
    <w:p>
      <w:pPr>
        <w:spacing w:line="600" w:lineRule="exact"/>
        <w:ind w:firstLine="640" w:firstLineChars="200"/>
        <w:rPr>
          <w:szCs w:val="32"/>
        </w:rPr>
      </w:pPr>
      <w:r>
        <w:rPr>
          <w:szCs w:val="32"/>
        </w:rPr>
        <w:t>申请“食在广州”评价认证的</w:t>
      </w:r>
      <w:r>
        <w:rPr>
          <w:rFonts w:hint="eastAsia"/>
          <w:szCs w:val="32"/>
        </w:rPr>
        <w:t>小麦粉</w:t>
      </w:r>
      <w:r>
        <w:rPr>
          <w:szCs w:val="32"/>
        </w:rPr>
        <w:t>产品，具体包括通用小麦粉和专用小麦粉。</w:t>
      </w:r>
    </w:p>
    <w:p>
      <w:pPr>
        <w:spacing w:line="600" w:lineRule="exact"/>
        <w:ind w:firstLine="629" w:firstLineChars="196"/>
        <w:rPr>
          <w:b/>
          <w:bCs/>
          <w:szCs w:val="32"/>
        </w:rPr>
      </w:pPr>
      <w:r>
        <w:rPr>
          <w:b/>
          <w:bCs/>
          <w:szCs w:val="32"/>
        </w:rPr>
        <w:t>二、认证相关标准</w:t>
      </w:r>
    </w:p>
    <w:p>
      <w:pPr>
        <w:spacing w:line="600" w:lineRule="exact"/>
        <w:ind w:firstLine="640" w:firstLineChars="200"/>
        <w:rPr>
          <w:szCs w:val="32"/>
        </w:rPr>
      </w:pPr>
      <w:r>
        <w:rPr>
          <w:rFonts w:hint="eastAsia"/>
          <w:szCs w:val="32"/>
        </w:rPr>
        <w:t>GB/T 1355 小麦粉</w:t>
      </w:r>
    </w:p>
    <w:p>
      <w:pPr>
        <w:spacing w:line="600" w:lineRule="exact"/>
        <w:ind w:firstLine="640" w:firstLineChars="200"/>
        <w:rPr>
          <w:szCs w:val="32"/>
        </w:rPr>
      </w:pPr>
      <w:r>
        <w:rPr>
          <w:szCs w:val="32"/>
        </w:rPr>
        <w:t>GB 2760 食品安全国家标准  食品添加剂使用标准</w:t>
      </w:r>
    </w:p>
    <w:p>
      <w:pPr>
        <w:spacing w:line="600" w:lineRule="exact"/>
        <w:ind w:firstLine="640" w:firstLineChars="200"/>
        <w:rPr>
          <w:szCs w:val="32"/>
        </w:rPr>
      </w:pPr>
      <w:r>
        <w:rPr>
          <w:rFonts w:hint="eastAsia"/>
          <w:szCs w:val="32"/>
        </w:rPr>
        <w:t>GB 2761 食品安全国家标准 食品中真菌毒素限量</w:t>
      </w:r>
    </w:p>
    <w:p>
      <w:pPr>
        <w:spacing w:line="600" w:lineRule="exact"/>
        <w:ind w:firstLine="640" w:firstLineChars="200"/>
        <w:rPr>
          <w:szCs w:val="32"/>
        </w:rPr>
      </w:pPr>
      <w:r>
        <w:rPr>
          <w:szCs w:val="32"/>
        </w:rPr>
        <w:t>GB 2762 食品安全国家标准  食品中污染物限量</w:t>
      </w:r>
    </w:p>
    <w:p>
      <w:pPr>
        <w:spacing w:line="600" w:lineRule="exact"/>
        <w:ind w:firstLine="640" w:firstLineChars="200"/>
        <w:rPr>
          <w:szCs w:val="32"/>
        </w:rPr>
      </w:pPr>
      <w:r>
        <w:rPr>
          <w:szCs w:val="32"/>
        </w:rPr>
        <w:t>GB 276</w:t>
      </w:r>
      <w:r>
        <w:rPr>
          <w:rFonts w:hint="eastAsia"/>
          <w:szCs w:val="32"/>
        </w:rPr>
        <w:t>3</w:t>
      </w:r>
      <w:r>
        <w:rPr>
          <w:szCs w:val="32"/>
        </w:rPr>
        <w:t xml:space="preserve"> 食品安全国家标准  </w:t>
      </w:r>
      <w:r>
        <w:rPr>
          <w:rFonts w:hint="eastAsia"/>
          <w:szCs w:val="32"/>
        </w:rPr>
        <w:t>食品中农药最大残留限量</w:t>
      </w:r>
    </w:p>
    <w:p>
      <w:pPr>
        <w:spacing w:line="600" w:lineRule="exact"/>
        <w:ind w:firstLine="640" w:firstLineChars="200"/>
        <w:rPr>
          <w:szCs w:val="32"/>
        </w:rPr>
      </w:pPr>
      <w:r>
        <w:rPr>
          <w:szCs w:val="32"/>
        </w:rPr>
        <w:t>GB 276</w:t>
      </w:r>
      <w:r>
        <w:rPr>
          <w:rFonts w:hint="eastAsia"/>
          <w:szCs w:val="32"/>
        </w:rPr>
        <w:t>3.1</w:t>
      </w:r>
      <w:r>
        <w:rPr>
          <w:szCs w:val="32"/>
        </w:rPr>
        <w:t xml:space="preserve"> 食品安全国家标准  </w:t>
      </w:r>
      <w:r>
        <w:rPr>
          <w:rFonts w:hint="eastAsia"/>
          <w:szCs w:val="32"/>
        </w:rPr>
        <w:t>食品中2,4-滴丁酸钠盐等112种农药最大残留限量</w:t>
      </w:r>
    </w:p>
    <w:p>
      <w:pPr>
        <w:spacing w:line="600" w:lineRule="exact"/>
        <w:ind w:firstLine="640" w:firstLineChars="200"/>
        <w:rPr>
          <w:szCs w:val="32"/>
        </w:rPr>
      </w:pPr>
      <w:r>
        <w:rPr>
          <w:rFonts w:hint="eastAsia"/>
          <w:szCs w:val="32"/>
        </w:rPr>
        <w:t>GB/T 8607 专用小麦粉</w:t>
      </w:r>
    </w:p>
    <w:p>
      <w:pPr>
        <w:spacing w:line="600" w:lineRule="exact"/>
        <w:ind w:firstLine="640" w:firstLineChars="200"/>
        <w:rPr>
          <w:szCs w:val="32"/>
        </w:rPr>
      </w:pPr>
      <w:r>
        <w:rPr>
          <w:rFonts w:hint="eastAsia"/>
          <w:szCs w:val="32"/>
        </w:rPr>
        <w:t>GB/T 17892 优质小麦</w:t>
      </w:r>
    </w:p>
    <w:p>
      <w:pPr>
        <w:spacing w:line="600" w:lineRule="exact"/>
        <w:ind w:firstLine="640" w:firstLineChars="200"/>
        <w:rPr>
          <w:szCs w:val="32"/>
        </w:rPr>
      </w:pPr>
      <w:r>
        <w:rPr>
          <w:rFonts w:hint="eastAsia"/>
          <w:szCs w:val="32"/>
        </w:rPr>
        <w:t>产品明示标准和质量要求</w:t>
      </w:r>
    </w:p>
    <w:p>
      <w:pPr>
        <w:spacing w:line="600" w:lineRule="exact"/>
        <w:ind w:firstLine="640" w:firstLineChars="200"/>
        <w:rPr>
          <w:szCs w:val="32"/>
        </w:rPr>
      </w:pPr>
      <w:r>
        <w:rPr>
          <w:rFonts w:hint="eastAsia"/>
          <w:szCs w:val="32"/>
        </w:rPr>
        <w:t>相关的法律法规、部门规章和规定</w:t>
      </w:r>
    </w:p>
    <w:p>
      <w:pPr>
        <w:spacing w:line="600" w:lineRule="exact"/>
        <w:ind w:firstLine="642" w:firstLineChars="200"/>
        <w:rPr>
          <w:rFonts w:ascii="仿宋_GB2312" w:hAnsi="方正黑体_GBK" w:cs="方正黑体_GBK"/>
          <w:b/>
          <w:bCs/>
          <w:szCs w:val="32"/>
        </w:rPr>
      </w:pPr>
      <w:bookmarkStart w:id="0" w:name="_Hlk143463071"/>
      <w:bookmarkStart w:id="1" w:name="_Hlk143466613"/>
      <w:r>
        <w:rPr>
          <w:rFonts w:hint="eastAsia" w:ascii="仿宋_GB2312" w:hAnsi="方正黑体_GBK" w:cs="方正黑体_GBK"/>
          <w:b/>
          <w:bCs/>
          <w:szCs w:val="32"/>
        </w:rPr>
        <w:t>三、认证产品要求</w:t>
      </w:r>
    </w:p>
    <w:p>
      <w:pPr>
        <w:spacing w:line="600" w:lineRule="exact"/>
        <w:ind w:firstLine="642" w:firstLineChars="200"/>
        <w:rPr>
          <w:b/>
          <w:szCs w:val="32"/>
        </w:rPr>
      </w:pPr>
      <w:r>
        <w:rPr>
          <w:b/>
          <w:szCs w:val="32"/>
        </w:rPr>
        <w:t>3.1  产品要求</w:t>
      </w:r>
    </w:p>
    <w:p>
      <w:pPr>
        <w:spacing w:line="600" w:lineRule="exact"/>
        <w:ind w:firstLine="640" w:firstLineChars="200"/>
        <w:rPr>
          <w:szCs w:val="32"/>
        </w:rPr>
      </w:pPr>
      <w:r>
        <w:rPr>
          <w:szCs w:val="32"/>
        </w:rPr>
        <w:t>申请“食在广州”评价认证的</w:t>
      </w:r>
      <w:r>
        <w:rPr>
          <w:rFonts w:hint="eastAsia"/>
          <w:szCs w:val="32"/>
        </w:rPr>
        <w:t>小麦粉应</w:t>
      </w:r>
      <w:r>
        <w:rPr>
          <w:szCs w:val="32"/>
        </w:rPr>
        <w:t>品质优良，可代表广州品牌形象的预包装</w:t>
      </w:r>
      <w:r>
        <w:rPr>
          <w:rFonts w:hint="eastAsia"/>
          <w:szCs w:val="32"/>
        </w:rPr>
        <w:t>小麦粉</w:t>
      </w:r>
      <w:r>
        <w:rPr>
          <w:szCs w:val="32"/>
        </w:rPr>
        <w:t>。</w:t>
      </w:r>
    </w:p>
    <w:p>
      <w:pPr>
        <w:spacing w:line="600" w:lineRule="exact"/>
        <w:ind w:firstLine="642" w:firstLineChars="200"/>
        <w:rPr>
          <w:b/>
          <w:szCs w:val="32"/>
        </w:rPr>
      </w:pPr>
      <w:r>
        <w:rPr>
          <w:b/>
          <w:szCs w:val="32"/>
        </w:rPr>
        <w:t>3.2  企业要求</w:t>
      </w:r>
    </w:p>
    <w:p>
      <w:pPr>
        <w:spacing w:line="600" w:lineRule="exact"/>
        <w:ind w:firstLine="640" w:firstLineChars="200"/>
        <w:rPr>
          <w:szCs w:val="32"/>
        </w:rPr>
      </w:pPr>
      <w:r>
        <w:rPr>
          <w:szCs w:val="32"/>
        </w:rPr>
        <w:t>申请</w:t>
      </w:r>
      <w:r>
        <w:rPr>
          <w:rFonts w:hint="eastAsia"/>
          <w:szCs w:val="32"/>
        </w:rPr>
        <w:t>小麦粉</w:t>
      </w:r>
      <w:r>
        <w:rPr>
          <w:szCs w:val="32"/>
        </w:rPr>
        <w:t>“食在广州”评价认证的企业所属行政区域原则上仅限于广东省广州市现辖行政区域。若同类产品由广州市现辖行政区域外的子公司生产且与申请认证企业使用共版标签的，子公司应为该申请认证企业的全资子公司。</w:t>
      </w:r>
    </w:p>
    <w:p>
      <w:pPr>
        <w:spacing w:line="600" w:lineRule="exact"/>
        <w:ind w:firstLine="642" w:firstLineChars="200"/>
        <w:rPr>
          <w:b/>
          <w:szCs w:val="32"/>
        </w:rPr>
      </w:pPr>
      <w:r>
        <w:rPr>
          <w:b/>
          <w:szCs w:val="32"/>
        </w:rPr>
        <w:t>3.3  原辅料要求</w:t>
      </w:r>
    </w:p>
    <w:p>
      <w:pPr>
        <w:spacing w:line="600" w:lineRule="exact"/>
        <w:ind w:firstLine="640" w:firstLineChars="200"/>
        <w:rPr>
          <w:rFonts w:ascii="仿宋_GB2312"/>
          <w:szCs w:val="32"/>
        </w:rPr>
      </w:pPr>
      <w:r>
        <w:rPr>
          <w:szCs w:val="32"/>
        </w:rPr>
        <w:t>申请“食在广州”评价认证的</w:t>
      </w:r>
      <w:r>
        <w:rPr>
          <w:rFonts w:hint="eastAsia"/>
          <w:szCs w:val="32"/>
        </w:rPr>
        <w:t>小麦粉</w:t>
      </w:r>
      <w:r>
        <w:rPr>
          <w:szCs w:val="32"/>
        </w:rPr>
        <w:t>的原辅料需符合国家强制性标准及其执行标准的要求</w:t>
      </w:r>
      <w:r>
        <w:rPr>
          <w:rFonts w:hint="eastAsia"/>
          <w:szCs w:val="32"/>
        </w:rPr>
        <w:t>。</w:t>
      </w:r>
      <w:r>
        <w:rPr>
          <w:szCs w:val="32"/>
        </w:rPr>
        <w:t>在满足生产工艺需求下，</w:t>
      </w:r>
      <w:bookmarkEnd w:id="0"/>
      <w:bookmarkStart w:id="2" w:name="_Hlk143463840"/>
      <w:r>
        <w:rPr>
          <w:szCs w:val="32"/>
        </w:rPr>
        <w:t>原则上选用较高质量等级的原辅料</w:t>
      </w:r>
      <w:r>
        <w:rPr>
          <w:rFonts w:hint="eastAsia" w:ascii="仿宋_GB2312"/>
          <w:szCs w:val="32"/>
        </w:rPr>
        <w:t>。</w:t>
      </w:r>
    </w:p>
    <w:p>
      <w:pPr>
        <w:spacing w:line="600" w:lineRule="exact"/>
        <w:ind w:firstLine="640" w:firstLineChars="200"/>
        <w:rPr>
          <w:rFonts w:ascii="仿宋_GB2312"/>
          <w:szCs w:val="32"/>
        </w:rPr>
      </w:pPr>
      <w:r>
        <w:rPr>
          <w:rFonts w:hint="eastAsia" w:ascii="仿宋_GB2312"/>
          <w:szCs w:val="32"/>
        </w:rPr>
        <w:t>影响特色风味的关键原料小麦应符合表1要求。</w:t>
      </w:r>
    </w:p>
    <w:p>
      <w:pPr>
        <w:spacing w:line="360" w:lineRule="auto"/>
        <w:jc w:val="center"/>
        <w:rPr>
          <w:rFonts w:ascii="黑体" w:hAnsi="黑体" w:eastAsia="黑体"/>
          <w:sz w:val="28"/>
          <w:szCs w:val="28"/>
        </w:rPr>
      </w:pPr>
      <w:r>
        <w:rPr>
          <w:rFonts w:hint="eastAsia" w:ascii="黑体" w:hAnsi="黑体" w:eastAsia="黑体"/>
          <w:sz w:val="28"/>
          <w:szCs w:val="28"/>
        </w:rPr>
        <w:t>表1 小麦</w:t>
      </w:r>
      <w:r>
        <w:rPr>
          <w:rFonts w:ascii="黑体" w:hAnsi="黑体" w:eastAsia="黑体"/>
          <w:sz w:val="28"/>
          <w:szCs w:val="28"/>
        </w:rPr>
        <w:t>指标要求</w:t>
      </w:r>
    </w:p>
    <w:tbl>
      <w:tblPr>
        <w:tblStyle w:val="8"/>
        <w:tblpPr w:leftFromText="180" w:rightFromText="180" w:vertAnchor="text" w:horzAnchor="margin" w:tblpXSpec="center" w:tblpY="3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1417"/>
        <w:gridCol w:w="1701"/>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36" w:type="dxa"/>
            <w:vAlign w:val="center"/>
          </w:tcPr>
          <w:p>
            <w:pPr>
              <w:jc w:val="center"/>
              <w:rPr>
                <w:rFonts w:ascii="仿宋_GB2312"/>
                <w:sz w:val="24"/>
                <w:szCs w:val="24"/>
              </w:rPr>
            </w:pPr>
            <w:r>
              <w:rPr>
                <w:rFonts w:hint="eastAsia" w:ascii="仿宋_GB2312"/>
                <w:sz w:val="24"/>
                <w:szCs w:val="24"/>
              </w:rPr>
              <w:t>类别</w:t>
            </w:r>
          </w:p>
        </w:tc>
        <w:tc>
          <w:tcPr>
            <w:tcW w:w="1417" w:type="dxa"/>
            <w:vAlign w:val="center"/>
          </w:tcPr>
          <w:p>
            <w:pPr>
              <w:jc w:val="center"/>
              <w:rPr>
                <w:rFonts w:ascii="仿宋_GB2312"/>
                <w:sz w:val="24"/>
                <w:szCs w:val="24"/>
              </w:rPr>
            </w:pPr>
            <w:r>
              <w:rPr>
                <w:rFonts w:hint="eastAsia" w:ascii="仿宋_GB2312"/>
                <w:sz w:val="24"/>
                <w:szCs w:val="24"/>
              </w:rPr>
              <w:t>强筋小麦</w:t>
            </w:r>
          </w:p>
        </w:tc>
        <w:tc>
          <w:tcPr>
            <w:tcW w:w="1701" w:type="dxa"/>
            <w:vAlign w:val="center"/>
          </w:tcPr>
          <w:p>
            <w:pPr>
              <w:jc w:val="center"/>
              <w:rPr>
                <w:rFonts w:ascii="仿宋_GB2312"/>
                <w:sz w:val="24"/>
                <w:szCs w:val="24"/>
              </w:rPr>
            </w:pPr>
            <w:r>
              <w:rPr>
                <w:rFonts w:hint="eastAsia" w:ascii="仿宋_GB2312"/>
                <w:sz w:val="24"/>
                <w:szCs w:val="24"/>
              </w:rPr>
              <w:t>中筋小麦</w:t>
            </w:r>
          </w:p>
        </w:tc>
        <w:tc>
          <w:tcPr>
            <w:tcW w:w="1576" w:type="dxa"/>
            <w:vAlign w:val="center"/>
          </w:tcPr>
          <w:p>
            <w:pPr>
              <w:jc w:val="center"/>
              <w:rPr>
                <w:rFonts w:ascii="仿宋_GB2312"/>
                <w:sz w:val="24"/>
                <w:szCs w:val="24"/>
              </w:rPr>
            </w:pPr>
            <w:r>
              <w:rPr>
                <w:rFonts w:hint="eastAsia" w:ascii="仿宋_GB2312"/>
                <w:sz w:val="24"/>
                <w:szCs w:val="24"/>
              </w:rPr>
              <w:t>低筋小麦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36" w:type="dxa"/>
            <w:vAlign w:val="center"/>
          </w:tcPr>
          <w:p>
            <w:pPr>
              <w:rPr>
                <w:rFonts w:ascii="仿宋_GB2312"/>
                <w:sz w:val="24"/>
                <w:szCs w:val="24"/>
              </w:rPr>
            </w:pPr>
            <w:r>
              <w:rPr>
                <w:rFonts w:hint="eastAsia" w:ascii="仿宋_GB2312"/>
                <w:sz w:val="24"/>
                <w:szCs w:val="24"/>
              </w:rPr>
              <w:t>水分含量/%                  ≤</w:t>
            </w:r>
          </w:p>
        </w:tc>
        <w:tc>
          <w:tcPr>
            <w:tcW w:w="4694" w:type="dxa"/>
            <w:gridSpan w:val="3"/>
            <w:vAlign w:val="center"/>
          </w:tcPr>
          <w:p>
            <w:pPr>
              <w:jc w:val="center"/>
              <w:rPr>
                <w:rFonts w:ascii="仿宋_GB2312"/>
                <w:sz w:val="24"/>
                <w:szCs w:val="24"/>
              </w:rPr>
            </w:pPr>
            <w:r>
              <w:rPr>
                <w:rFonts w:hint="eastAsia" w:ascii="仿宋_GB2312"/>
                <w:sz w:val="24"/>
                <w:szCs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36" w:type="dxa"/>
            <w:vAlign w:val="center"/>
          </w:tcPr>
          <w:p>
            <w:pPr>
              <w:widowControl/>
              <w:textAlignment w:val="center"/>
              <w:rPr>
                <w:rFonts w:ascii="仿宋_GB2312"/>
                <w:sz w:val="24"/>
                <w:szCs w:val="24"/>
              </w:rPr>
            </w:pPr>
            <w:r>
              <w:rPr>
                <w:rFonts w:hint="eastAsia" w:ascii="仿宋_GB2312"/>
                <w:sz w:val="24"/>
                <w:szCs w:val="24"/>
              </w:rPr>
              <w:t>容重/（g/L）                ≥</w:t>
            </w:r>
          </w:p>
        </w:tc>
        <w:tc>
          <w:tcPr>
            <w:tcW w:w="4694" w:type="dxa"/>
            <w:gridSpan w:val="3"/>
            <w:vAlign w:val="center"/>
          </w:tcPr>
          <w:p>
            <w:pPr>
              <w:jc w:val="center"/>
              <w:rPr>
                <w:rFonts w:ascii="仿宋_GB2312"/>
                <w:sz w:val="24"/>
                <w:szCs w:val="24"/>
              </w:rPr>
            </w:pPr>
            <w:r>
              <w:rPr>
                <w:rFonts w:hint="eastAsia" w:ascii="仿宋_GB2312"/>
                <w:sz w:val="24"/>
                <w:szCs w:val="24"/>
              </w:rPr>
              <w:t>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36" w:type="dxa"/>
            <w:vAlign w:val="center"/>
          </w:tcPr>
          <w:p>
            <w:pPr>
              <w:widowControl/>
              <w:textAlignment w:val="center"/>
              <w:rPr>
                <w:rFonts w:ascii="仿宋_GB2312"/>
                <w:sz w:val="24"/>
                <w:szCs w:val="24"/>
              </w:rPr>
            </w:pPr>
            <w:r>
              <w:rPr>
                <w:rFonts w:hint="eastAsia" w:ascii="仿宋_GB2312"/>
                <w:sz w:val="24"/>
                <w:szCs w:val="24"/>
              </w:rPr>
              <w:t>不完善粒/（%）              ≤</w:t>
            </w:r>
          </w:p>
        </w:tc>
        <w:tc>
          <w:tcPr>
            <w:tcW w:w="4694" w:type="dxa"/>
            <w:gridSpan w:val="3"/>
            <w:vAlign w:val="center"/>
          </w:tcPr>
          <w:p>
            <w:pPr>
              <w:jc w:val="center"/>
              <w:rPr>
                <w:rFonts w:ascii="仿宋_GB2312"/>
                <w:sz w:val="24"/>
                <w:szCs w:val="24"/>
              </w:rPr>
            </w:pPr>
            <w:r>
              <w:rPr>
                <w:rFonts w:hint="eastAsia" w:ascii="仿宋_GB2312"/>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36" w:type="dxa"/>
            <w:vAlign w:val="center"/>
          </w:tcPr>
          <w:p>
            <w:pPr>
              <w:widowControl/>
              <w:textAlignment w:val="center"/>
              <w:rPr>
                <w:rFonts w:ascii="仿宋_GB2312"/>
                <w:sz w:val="24"/>
                <w:szCs w:val="24"/>
              </w:rPr>
            </w:pPr>
            <w:r>
              <w:rPr>
                <w:rFonts w:hint="eastAsia" w:ascii="仿宋_GB2312"/>
                <w:sz w:val="24"/>
                <w:szCs w:val="24"/>
              </w:rPr>
              <w:t>杂质/（%）                  ≤</w:t>
            </w:r>
          </w:p>
          <w:p>
            <w:pPr>
              <w:textAlignment w:val="center"/>
              <w:rPr>
                <w:rFonts w:ascii="仿宋_GB2312"/>
                <w:sz w:val="24"/>
                <w:szCs w:val="24"/>
              </w:rPr>
            </w:pPr>
            <w:r>
              <w:rPr>
                <w:rFonts w:hint="eastAsia" w:ascii="仿宋_GB2312"/>
                <w:sz w:val="24"/>
                <w:szCs w:val="24"/>
              </w:rPr>
              <w:t>其中: 无机杂质含量/%        ≤</w:t>
            </w:r>
          </w:p>
        </w:tc>
        <w:tc>
          <w:tcPr>
            <w:tcW w:w="4694" w:type="dxa"/>
            <w:gridSpan w:val="3"/>
            <w:vAlign w:val="center"/>
          </w:tcPr>
          <w:p>
            <w:pPr>
              <w:jc w:val="center"/>
              <w:rPr>
                <w:rFonts w:ascii="仿宋_GB2312"/>
                <w:sz w:val="24"/>
                <w:szCs w:val="24"/>
              </w:rPr>
            </w:pPr>
            <w:r>
              <w:rPr>
                <w:rFonts w:hint="eastAsia" w:ascii="仿宋_GB2312"/>
                <w:sz w:val="24"/>
                <w:szCs w:val="24"/>
              </w:rPr>
              <w:t>1.0</w:t>
            </w:r>
          </w:p>
          <w:p>
            <w:pPr>
              <w:jc w:val="center"/>
              <w:rPr>
                <w:rFonts w:ascii="仿宋_GB2312"/>
                <w:sz w:val="24"/>
                <w:szCs w:val="24"/>
              </w:rPr>
            </w:pPr>
            <w:r>
              <w:rPr>
                <w:rFonts w:hint="eastAsia" w:ascii="仿宋_GB2312"/>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36" w:type="dxa"/>
            <w:vAlign w:val="center"/>
          </w:tcPr>
          <w:p>
            <w:pPr>
              <w:widowControl/>
              <w:textAlignment w:val="center"/>
              <w:rPr>
                <w:rFonts w:ascii="仿宋_GB2312"/>
                <w:sz w:val="24"/>
                <w:szCs w:val="24"/>
              </w:rPr>
            </w:pPr>
            <w:r>
              <w:rPr>
                <w:rFonts w:hint="eastAsia" w:ascii="仿宋_GB2312"/>
                <w:sz w:val="24"/>
                <w:szCs w:val="24"/>
              </w:rPr>
              <w:t>赤霉病粒/（%）              ≤</w:t>
            </w:r>
          </w:p>
        </w:tc>
        <w:tc>
          <w:tcPr>
            <w:tcW w:w="4694" w:type="dxa"/>
            <w:gridSpan w:val="3"/>
            <w:vAlign w:val="center"/>
          </w:tcPr>
          <w:p>
            <w:pPr>
              <w:jc w:val="center"/>
              <w:rPr>
                <w:rFonts w:ascii="仿宋_GB2312"/>
                <w:sz w:val="24"/>
                <w:szCs w:val="24"/>
              </w:rPr>
            </w:pPr>
            <w:r>
              <w:rPr>
                <w:rFonts w:hint="eastAsia" w:ascii="仿宋_GB2312"/>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36" w:type="dxa"/>
            <w:vAlign w:val="center"/>
          </w:tcPr>
          <w:p>
            <w:pPr>
              <w:widowControl/>
              <w:textAlignment w:val="center"/>
              <w:rPr>
                <w:rFonts w:ascii="仿宋_GB2312"/>
                <w:sz w:val="24"/>
                <w:szCs w:val="24"/>
              </w:rPr>
            </w:pPr>
            <w:r>
              <w:rPr>
                <w:rFonts w:hint="eastAsia" w:ascii="仿宋_GB2312"/>
                <w:sz w:val="24"/>
                <w:szCs w:val="24"/>
              </w:rPr>
              <w:t>全麦筋/（%）</w:t>
            </w:r>
          </w:p>
        </w:tc>
        <w:tc>
          <w:tcPr>
            <w:tcW w:w="1417" w:type="dxa"/>
            <w:vAlign w:val="center"/>
          </w:tcPr>
          <w:p>
            <w:pPr>
              <w:jc w:val="center"/>
              <w:rPr>
                <w:rFonts w:ascii="仿宋_GB2312"/>
                <w:sz w:val="24"/>
                <w:szCs w:val="24"/>
              </w:rPr>
            </w:pPr>
            <w:r>
              <w:rPr>
                <w:rFonts w:hint="eastAsia" w:ascii="仿宋_GB2312"/>
                <w:sz w:val="24"/>
                <w:szCs w:val="24"/>
              </w:rPr>
              <w:t>≥32.0</w:t>
            </w:r>
          </w:p>
        </w:tc>
        <w:tc>
          <w:tcPr>
            <w:tcW w:w="1701" w:type="dxa"/>
            <w:vAlign w:val="center"/>
          </w:tcPr>
          <w:p>
            <w:pPr>
              <w:jc w:val="center"/>
              <w:rPr>
                <w:rFonts w:ascii="仿宋_GB2312"/>
                <w:sz w:val="24"/>
                <w:szCs w:val="24"/>
              </w:rPr>
            </w:pPr>
            <w:r>
              <w:rPr>
                <w:rFonts w:hint="eastAsia" w:ascii="仿宋_GB2312"/>
                <w:sz w:val="24"/>
                <w:szCs w:val="24"/>
              </w:rPr>
              <w:t>26.0-32.0</w:t>
            </w:r>
          </w:p>
        </w:tc>
        <w:tc>
          <w:tcPr>
            <w:tcW w:w="1576" w:type="dxa"/>
            <w:vAlign w:val="center"/>
          </w:tcPr>
          <w:p>
            <w:pPr>
              <w:jc w:val="center"/>
              <w:rPr>
                <w:rFonts w:ascii="仿宋_GB2312"/>
                <w:sz w:val="24"/>
                <w:szCs w:val="24"/>
              </w:rPr>
            </w:pPr>
            <w:r>
              <w:rPr>
                <w:rFonts w:hint="eastAsia" w:ascii="仿宋_GB2312"/>
                <w:sz w:val="24"/>
                <w:szCs w:val="24"/>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36" w:type="dxa"/>
            <w:vAlign w:val="center"/>
          </w:tcPr>
          <w:p>
            <w:pPr>
              <w:widowControl/>
              <w:textAlignment w:val="center"/>
              <w:rPr>
                <w:rFonts w:ascii="仿宋_GB2312"/>
                <w:sz w:val="24"/>
                <w:szCs w:val="24"/>
              </w:rPr>
            </w:pPr>
            <w:r>
              <w:rPr>
                <w:rFonts w:hint="eastAsia" w:ascii="仿宋_GB2312"/>
                <w:sz w:val="24"/>
                <w:szCs w:val="24"/>
              </w:rPr>
              <w:t>粉质稳定时间/（min）</w:t>
            </w:r>
          </w:p>
        </w:tc>
        <w:tc>
          <w:tcPr>
            <w:tcW w:w="1417" w:type="dxa"/>
            <w:vAlign w:val="center"/>
          </w:tcPr>
          <w:p>
            <w:pPr>
              <w:jc w:val="center"/>
              <w:rPr>
                <w:rFonts w:ascii="仿宋_GB2312"/>
                <w:sz w:val="24"/>
                <w:szCs w:val="24"/>
              </w:rPr>
            </w:pPr>
            <w:r>
              <w:rPr>
                <w:rFonts w:hint="eastAsia" w:ascii="仿宋_GB2312"/>
                <w:sz w:val="24"/>
                <w:szCs w:val="24"/>
              </w:rPr>
              <w:t>≥12.0</w:t>
            </w:r>
          </w:p>
        </w:tc>
        <w:tc>
          <w:tcPr>
            <w:tcW w:w="1701" w:type="dxa"/>
            <w:vAlign w:val="center"/>
          </w:tcPr>
          <w:p>
            <w:pPr>
              <w:jc w:val="center"/>
              <w:rPr>
                <w:rFonts w:ascii="仿宋_GB2312"/>
                <w:sz w:val="24"/>
                <w:szCs w:val="24"/>
              </w:rPr>
            </w:pPr>
            <w:r>
              <w:rPr>
                <w:rFonts w:hint="eastAsia" w:ascii="仿宋_GB2312"/>
                <w:sz w:val="24"/>
                <w:szCs w:val="24"/>
              </w:rPr>
              <w:t>≥6.0</w:t>
            </w:r>
          </w:p>
        </w:tc>
        <w:tc>
          <w:tcPr>
            <w:tcW w:w="1576" w:type="dxa"/>
            <w:vAlign w:val="center"/>
          </w:tcPr>
          <w:p>
            <w:pPr>
              <w:jc w:val="center"/>
              <w:rPr>
                <w:rFonts w:ascii="仿宋_GB2312"/>
                <w:sz w:val="24"/>
                <w:szCs w:val="24"/>
              </w:rPr>
            </w:pPr>
            <w:r>
              <w:rPr>
                <w:rFonts w:hint="eastAsia" w:ascii="仿宋_GB2312"/>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36" w:type="dxa"/>
            <w:vAlign w:val="center"/>
          </w:tcPr>
          <w:p>
            <w:pPr>
              <w:widowControl/>
              <w:textAlignment w:val="center"/>
              <w:rPr>
                <w:rFonts w:ascii="仿宋_GB2312"/>
                <w:sz w:val="24"/>
                <w:szCs w:val="24"/>
              </w:rPr>
            </w:pPr>
            <w:r>
              <w:rPr>
                <w:rFonts w:hint="eastAsia" w:ascii="仿宋_GB2312"/>
                <w:sz w:val="24"/>
                <w:szCs w:val="24"/>
              </w:rPr>
              <w:t>降落数值/s                   ≥</w:t>
            </w:r>
          </w:p>
        </w:tc>
        <w:tc>
          <w:tcPr>
            <w:tcW w:w="4694" w:type="dxa"/>
            <w:gridSpan w:val="3"/>
            <w:vAlign w:val="center"/>
          </w:tcPr>
          <w:p>
            <w:pPr>
              <w:jc w:val="center"/>
              <w:rPr>
                <w:rFonts w:ascii="仿宋_GB2312"/>
                <w:sz w:val="24"/>
                <w:szCs w:val="24"/>
              </w:rPr>
            </w:pPr>
            <w:r>
              <w:rPr>
                <w:rFonts w:hint="eastAsia" w:ascii="仿宋_GB2312"/>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36" w:type="dxa"/>
            <w:vAlign w:val="center"/>
          </w:tcPr>
          <w:p>
            <w:pPr>
              <w:widowControl/>
              <w:textAlignment w:val="center"/>
              <w:rPr>
                <w:rFonts w:ascii="仿宋_GB2312"/>
                <w:sz w:val="24"/>
                <w:szCs w:val="24"/>
              </w:rPr>
            </w:pPr>
            <w:r>
              <w:rPr>
                <w:rFonts w:hint="eastAsia" w:ascii="仿宋_GB2312"/>
                <w:sz w:val="24"/>
                <w:szCs w:val="24"/>
              </w:rPr>
              <w:t>脱氧雪腐镰刀菌烯醇/μ</w:t>
            </w:r>
            <w:r>
              <w:rPr>
                <w:rFonts w:ascii="仿宋_GB2312"/>
                <w:sz w:val="24"/>
                <w:szCs w:val="24"/>
              </w:rPr>
              <w:t>g/kg</w:t>
            </w:r>
            <w:r>
              <w:rPr>
                <w:rFonts w:hint="eastAsia" w:ascii="仿宋_GB2312"/>
                <w:sz w:val="24"/>
                <w:szCs w:val="24"/>
              </w:rPr>
              <w:t xml:space="preserve">   ≤</w:t>
            </w:r>
          </w:p>
        </w:tc>
        <w:tc>
          <w:tcPr>
            <w:tcW w:w="4694" w:type="dxa"/>
            <w:gridSpan w:val="3"/>
            <w:vAlign w:val="center"/>
          </w:tcPr>
          <w:p>
            <w:pPr>
              <w:jc w:val="center"/>
              <w:rPr>
                <w:rFonts w:ascii="仿宋_GB2312"/>
                <w:sz w:val="24"/>
                <w:szCs w:val="24"/>
              </w:rPr>
            </w:pPr>
            <w:r>
              <w:rPr>
                <w:rFonts w:hint="eastAsia" w:ascii="仿宋_GB2312"/>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36" w:type="dxa"/>
            <w:vAlign w:val="center"/>
          </w:tcPr>
          <w:p>
            <w:pPr>
              <w:rPr>
                <w:rFonts w:ascii="仿宋_GB2312"/>
                <w:sz w:val="24"/>
                <w:szCs w:val="24"/>
              </w:rPr>
            </w:pPr>
            <w:r>
              <w:rPr>
                <w:rFonts w:hint="eastAsia" w:ascii="仿宋_GB2312"/>
                <w:sz w:val="24"/>
                <w:szCs w:val="24"/>
              </w:rPr>
              <w:t>玉米赤霉烯酮/ μ</w:t>
            </w:r>
            <w:r>
              <w:rPr>
                <w:rFonts w:ascii="仿宋_GB2312"/>
                <w:sz w:val="24"/>
                <w:szCs w:val="24"/>
              </w:rPr>
              <w:t>g/kg</w:t>
            </w:r>
            <w:r>
              <w:rPr>
                <w:rFonts w:hint="eastAsia" w:ascii="仿宋_GB2312"/>
                <w:sz w:val="24"/>
                <w:szCs w:val="24"/>
              </w:rPr>
              <w:t xml:space="preserve">        ≤</w:t>
            </w:r>
          </w:p>
        </w:tc>
        <w:tc>
          <w:tcPr>
            <w:tcW w:w="4694" w:type="dxa"/>
            <w:gridSpan w:val="3"/>
            <w:vAlign w:val="center"/>
          </w:tcPr>
          <w:p>
            <w:pPr>
              <w:jc w:val="center"/>
              <w:rPr>
                <w:rFonts w:ascii="仿宋_GB2312"/>
                <w:sz w:val="24"/>
                <w:szCs w:val="24"/>
              </w:rPr>
            </w:pPr>
            <w:r>
              <w:rPr>
                <w:rFonts w:hint="eastAsia" w:ascii="仿宋_GB2312"/>
                <w:sz w:val="24"/>
                <w:szCs w:val="24"/>
              </w:rPr>
              <w:t>50</w:t>
            </w:r>
          </w:p>
        </w:tc>
      </w:tr>
    </w:tbl>
    <w:p>
      <w:pPr>
        <w:spacing w:line="600" w:lineRule="exact"/>
        <w:ind w:firstLine="640" w:firstLineChars="200"/>
        <w:rPr>
          <w:szCs w:val="32"/>
        </w:rPr>
      </w:pPr>
    </w:p>
    <w:p>
      <w:pPr>
        <w:spacing w:line="600" w:lineRule="exact"/>
        <w:ind w:firstLine="642" w:firstLineChars="200"/>
        <w:rPr>
          <w:b/>
          <w:szCs w:val="32"/>
        </w:rPr>
      </w:pPr>
      <w:r>
        <w:rPr>
          <w:b/>
          <w:szCs w:val="32"/>
        </w:rPr>
        <w:t>3.4  生产工艺要求</w:t>
      </w:r>
    </w:p>
    <w:p>
      <w:pPr>
        <w:spacing w:line="600" w:lineRule="exact"/>
        <w:ind w:firstLine="640" w:firstLineChars="200"/>
        <w:rPr>
          <w:szCs w:val="32"/>
        </w:rPr>
      </w:pPr>
      <w:r>
        <w:rPr>
          <w:szCs w:val="32"/>
        </w:rPr>
        <w:t>认证产品的生产设备、生产环境卫生标准、生产工艺流程等应同时符合国家相关法律法规的要求。</w:t>
      </w:r>
    </w:p>
    <w:bookmarkEnd w:id="1"/>
    <w:bookmarkEnd w:id="2"/>
    <w:p>
      <w:pPr>
        <w:spacing w:line="600" w:lineRule="exact"/>
        <w:ind w:firstLine="642" w:firstLineChars="200"/>
        <w:rPr>
          <w:b/>
          <w:szCs w:val="32"/>
        </w:rPr>
      </w:pPr>
      <w:r>
        <w:rPr>
          <w:b/>
          <w:szCs w:val="32"/>
        </w:rPr>
        <w:t>3.5  产品品质要求</w:t>
      </w:r>
    </w:p>
    <w:p>
      <w:pPr>
        <w:spacing w:line="600" w:lineRule="exact"/>
        <w:ind w:firstLine="640" w:firstLineChars="200"/>
        <w:rPr>
          <w:b/>
          <w:szCs w:val="32"/>
        </w:rPr>
      </w:pPr>
      <w:r>
        <w:rPr>
          <w:szCs w:val="32"/>
        </w:rPr>
        <w:t>“食在广州”评价认证的</w:t>
      </w:r>
      <w:r>
        <w:rPr>
          <w:rFonts w:hint="eastAsia"/>
          <w:szCs w:val="32"/>
        </w:rPr>
        <w:t>小麦粉</w:t>
      </w:r>
      <w:r>
        <w:rPr>
          <w:szCs w:val="32"/>
        </w:rPr>
        <w:t>品质应符合或优于下列要求。</w:t>
      </w:r>
    </w:p>
    <w:p>
      <w:pPr>
        <w:spacing w:line="600" w:lineRule="exact"/>
        <w:ind w:firstLine="640" w:firstLineChars="200"/>
        <w:rPr>
          <w:bCs/>
          <w:szCs w:val="32"/>
        </w:rPr>
      </w:pPr>
      <w:r>
        <w:rPr>
          <w:bCs/>
          <w:szCs w:val="32"/>
        </w:rPr>
        <w:t>3.5.1 感官指标要求</w:t>
      </w:r>
    </w:p>
    <w:p>
      <w:pPr>
        <w:spacing w:line="600" w:lineRule="exact"/>
        <w:ind w:firstLine="640" w:firstLineChars="200"/>
        <w:rPr>
          <w:szCs w:val="32"/>
        </w:rPr>
      </w:pPr>
      <w:r>
        <w:rPr>
          <w:rFonts w:hint="eastAsia"/>
          <w:szCs w:val="32"/>
        </w:rPr>
        <w:t>小麦粉</w:t>
      </w:r>
      <w:r>
        <w:rPr>
          <w:szCs w:val="32"/>
        </w:rPr>
        <w:t>的感官指标应符合表</w:t>
      </w:r>
      <w:r>
        <w:rPr>
          <w:rFonts w:hint="eastAsia"/>
          <w:szCs w:val="32"/>
        </w:rPr>
        <w:t>2</w:t>
      </w:r>
      <w:r>
        <w:rPr>
          <w:szCs w:val="32"/>
        </w:rPr>
        <w:t>要求。</w:t>
      </w:r>
    </w:p>
    <w:p>
      <w:pPr>
        <w:spacing w:line="360" w:lineRule="auto"/>
        <w:jc w:val="center"/>
        <w:rPr>
          <w:rFonts w:ascii="黑体" w:hAnsi="黑体" w:eastAsia="黑体"/>
          <w:sz w:val="28"/>
          <w:szCs w:val="28"/>
        </w:rPr>
      </w:pPr>
      <w:r>
        <w:rPr>
          <w:rFonts w:hint="eastAsia" w:ascii="黑体" w:hAnsi="黑体" w:eastAsia="黑体"/>
          <w:sz w:val="28"/>
          <w:szCs w:val="28"/>
        </w:rPr>
        <w:t>表2 小麦粉</w:t>
      </w:r>
      <w:r>
        <w:rPr>
          <w:rFonts w:ascii="黑体" w:hAnsi="黑体" w:eastAsia="黑体"/>
          <w:sz w:val="28"/>
          <w:szCs w:val="28"/>
        </w:rPr>
        <w:t>的感官指标要求</w:t>
      </w:r>
    </w:p>
    <w:tbl>
      <w:tblPr>
        <w:tblStyle w:val="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835" w:type="dxa"/>
            <w:vAlign w:val="center"/>
          </w:tcPr>
          <w:p>
            <w:pPr>
              <w:adjustRightInd w:val="0"/>
              <w:snapToGrid w:val="0"/>
              <w:jc w:val="center"/>
              <w:rPr>
                <w:rFonts w:ascii="黑体" w:hAnsi="黑体" w:eastAsia="黑体"/>
                <w:sz w:val="24"/>
              </w:rPr>
            </w:pPr>
            <w:r>
              <w:rPr>
                <w:rFonts w:hint="eastAsia" w:ascii="黑体" w:hAnsi="黑体" w:eastAsia="黑体"/>
                <w:sz w:val="24"/>
              </w:rPr>
              <w:t>项目</w:t>
            </w:r>
          </w:p>
        </w:tc>
        <w:tc>
          <w:tcPr>
            <w:tcW w:w="5387" w:type="dxa"/>
            <w:vAlign w:val="center"/>
          </w:tcPr>
          <w:p>
            <w:pPr>
              <w:adjustRightInd w:val="0"/>
              <w:snapToGrid w:val="0"/>
              <w:jc w:val="center"/>
              <w:rPr>
                <w:rFonts w:ascii="黑体" w:hAnsi="黑体" w:eastAsia="黑体"/>
                <w:sz w:val="24"/>
              </w:rPr>
            </w:pPr>
            <w:r>
              <w:rPr>
                <w:rFonts w:hint="eastAsia" w:ascii="黑体" w:hAnsi="黑体" w:eastAsia="黑体"/>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835" w:type="dxa"/>
            <w:vAlign w:val="center"/>
          </w:tcPr>
          <w:p>
            <w:pPr>
              <w:adjustRightInd w:val="0"/>
              <w:snapToGrid w:val="0"/>
              <w:jc w:val="center"/>
              <w:rPr>
                <w:sz w:val="24"/>
              </w:rPr>
            </w:pPr>
            <w:r>
              <w:rPr>
                <w:rFonts w:hint="eastAsia"/>
                <w:sz w:val="24"/>
              </w:rPr>
              <w:t>色泽</w:t>
            </w:r>
          </w:p>
        </w:tc>
        <w:tc>
          <w:tcPr>
            <w:tcW w:w="5387" w:type="dxa"/>
            <w:vAlign w:val="center"/>
          </w:tcPr>
          <w:p>
            <w:pPr>
              <w:adjustRightInd w:val="0"/>
              <w:snapToGrid w:val="0"/>
              <w:jc w:val="center"/>
              <w:rPr>
                <w:sz w:val="24"/>
              </w:rPr>
            </w:pPr>
            <w:r>
              <w:rPr>
                <w:rFonts w:hint="eastAsia"/>
                <w:sz w:val="24"/>
              </w:rPr>
              <w:t>呈乳白色或淡黄色，不发暗，无杂色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835" w:type="dxa"/>
            <w:vAlign w:val="center"/>
          </w:tcPr>
          <w:p>
            <w:pPr>
              <w:adjustRightInd w:val="0"/>
              <w:snapToGrid w:val="0"/>
              <w:jc w:val="center"/>
              <w:rPr>
                <w:sz w:val="24"/>
              </w:rPr>
            </w:pPr>
            <w:r>
              <w:rPr>
                <w:rFonts w:hint="eastAsia"/>
                <w:sz w:val="24"/>
              </w:rPr>
              <w:t>口味与气味</w:t>
            </w:r>
          </w:p>
        </w:tc>
        <w:tc>
          <w:tcPr>
            <w:tcW w:w="5387" w:type="dxa"/>
            <w:vAlign w:val="center"/>
          </w:tcPr>
          <w:p>
            <w:pPr>
              <w:adjustRightInd w:val="0"/>
              <w:snapToGrid w:val="0"/>
              <w:jc w:val="center"/>
              <w:rPr>
                <w:sz w:val="24"/>
              </w:rPr>
            </w:pPr>
            <w:r>
              <w:rPr>
                <w:rFonts w:hint="eastAsia"/>
                <w:sz w:val="24"/>
              </w:rPr>
              <w:t>具有正常的小麦粉固有的清香味，无霉味、酸味、苦味或其他异味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835" w:type="dxa"/>
            <w:vAlign w:val="center"/>
          </w:tcPr>
          <w:p>
            <w:pPr>
              <w:adjustRightInd w:val="0"/>
              <w:snapToGrid w:val="0"/>
              <w:jc w:val="center"/>
              <w:rPr>
                <w:sz w:val="24"/>
              </w:rPr>
            </w:pPr>
            <w:r>
              <w:rPr>
                <w:rFonts w:hint="eastAsia"/>
                <w:sz w:val="24"/>
              </w:rPr>
              <w:t>性状</w:t>
            </w:r>
          </w:p>
        </w:tc>
        <w:tc>
          <w:tcPr>
            <w:tcW w:w="5387" w:type="dxa"/>
            <w:vAlign w:val="center"/>
          </w:tcPr>
          <w:p>
            <w:pPr>
              <w:adjustRightInd w:val="0"/>
              <w:snapToGrid w:val="0"/>
              <w:jc w:val="center"/>
              <w:rPr>
                <w:sz w:val="24"/>
              </w:rPr>
            </w:pPr>
            <w:r>
              <w:rPr>
                <w:rFonts w:hint="eastAsia"/>
                <w:sz w:val="24"/>
              </w:rPr>
              <w:t>呈粉末状或颗粒状，无结块、无霉变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835" w:type="dxa"/>
            <w:vAlign w:val="center"/>
          </w:tcPr>
          <w:p>
            <w:pPr>
              <w:adjustRightInd w:val="0"/>
              <w:snapToGrid w:val="0"/>
              <w:jc w:val="center"/>
              <w:rPr>
                <w:sz w:val="24"/>
              </w:rPr>
            </w:pPr>
            <w:r>
              <w:rPr>
                <w:rFonts w:hint="eastAsia"/>
                <w:sz w:val="24"/>
              </w:rPr>
              <w:t>杂质</w:t>
            </w:r>
          </w:p>
        </w:tc>
        <w:tc>
          <w:tcPr>
            <w:tcW w:w="5387" w:type="dxa"/>
            <w:vAlign w:val="center"/>
          </w:tcPr>
          <w:p>
            <w:pPr>
              <w:adjustRightInd w:val="0"/>
              <w:snapToGrid w:val="0"/>
              <w:jc w:val="center"/>
              <w:rPr>
                <w:sz w:val="24"/>
              </w:rPr>
            </w:pPr>
            <w:r>
              <w:rPr>
                <w:rFonts w:hint="eastAsia"/>
                <w:sz w:val="24"/>
              </w:rPr>
              <w:t>无正常视力可见外来异物、杂质</w:t>
            </w:r>
          </w:p>
        </w:tc>
      </w:tr>
    </w:tbl>
    <w:p>
      <w:pPr>
        <w:spacing w:line="600" w:lineRule="exact"/>
        <w:ind w:firstLine="640" w:firstLineChars="200"/>
        <w:rPr>
          <w:bCs/>
          <w:szCs w:val="32"/>
        </w:rPr>
      </w:pPr>
      <w:r>
        <w:rPr>
          <w:bCs/>
          <w:szCs w:val="32"/>
        </w:rPr>
        <w:t>3.5.2</w:t>
      </w:r>
      <w:r>
        <w:rPr>
          <w:rFonts w:hint="eastAsia"/>
          <w:bCs/>
          <w:szCs w:val="32"/>
        </w:rPr>
        <w:t xml:space="preserve"> 理化</w:t>
      </w:r>
      <w:r>
        <w:rPr>
          <w:bCs/>
          <w:szCs w:val="32"/>
        </w:rPr>
        <w:t>指标要求</w:t>
      </w:r>
    </w:p>
    <w:p>
      <w:pPr>
        <w:spacing w:line="600" w:lineRule="exact"/>
        <w:ind w:firstLine="640" w:firstLineChars="200"/>
        <w:rPr>
          <w:szCs w:val="32"/>
        </w:rPr>
      </w:pPr>
      <w:r>
        <w:rPr>
          <w:rFonts w:hint="eastAsia"/>
          <w:szCs w:val="32"/>
        </w:rPr>
        <w:t>通用小麦粉的理化指标要求应符合表3的规定，专用小麦粉的理化指标要求应符合表4的规定｡</w:t>
      </w:r>
    </w:p>
    <w:p>
      <w:pPr>
        <w:spacing w:line="360" w:lineRule="auto"/>
        <w:jc w:val="center"/>
        <w:rPr>
          <w:rFonts w:ascii="黑体" w:hAnsi="黑体" w:eastAsia="黑体"/>
          <w:sz w:val="28"/>
          <w:szCs w:val="28"/>
        </w:rPr>
      </w:pPr>
      <w:r>
        <w:rPr>
          <w:rFonts w:hint="eastAsia" w:ascii="黑体" w:hAnsi="黑体" w:eastAsia="黑体"/>
          <w:sz w:val="28"/>
          <w:szCs w:val="28"/>
        </w:rPr>
        <w:t>表3 通用小麦粉</w:t>
      </w:r>
      <w:r>
        <w:rPr>
          <w:rFonts w:ascii="黑体" w:hAnsi="黑体" w:eastAsia="黑体"/>
          <w:sz w:val="28"/>
          <w:szCs w:val="28"/>
        </w:rPr>
        <w:t>的理化指标要求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4"/>
        <w:gridCol w:w="1565"/>
        <w:gridCol w:w="1565"/>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029" w:type="dxa"/>
            <w:vMerge w:val="restart"/>
            <w:vAlign w:val="center"/>
          </w:tcPr>
          <w:p>
            <w:pPr>
              <w:adjustRightInd w:val="0"/>
              <w:snapToGrid w:val="0"/>
              <w:jc w:val="center"/>
              <w:rPr>
                <w:rFonts w:ascii="黑体" w:hAnsi="黑体" w:eastAsia="黑体"/>
                <w:sz w:val="24"/>
                <w:szCs w:val="24"/>
              </w:rPr>
            </w:pPr>
            <w:r>
              <w:rPr>
                <w:rFonts w:hint="eastAsia" w:ascii="黑体" w:hAnsi="黑体" w:eastAsia="黑体"/>
                <w:sz w:val="24"/>
                <w:szCs w:val="24"/>
              </w:rPr>
              <w:t>理化指标</w:t>
            </w:r>
          </w:p>
        </w:tc>
        <w:tc>
          <w:tcPr>
            <w:tcW w:w="4786" w:type="dxa"/>
            <w:gridSpan w:val="3"/>
            <w:vAlign w:val="center"/>
          </w:tcPr>
          <w:p>
            <w:pPr>
              <w:adjustRightInd w:val="0"/>
              <w:snapToGrid w:val="0"/>
              <w:jc w:val="center"/>
              <w:rPr>
                <w:rFonts w:ascii="黑体" w:hAnsi="黑体" w:eastAsia="黑体"/>
                <w:sz w:val="24"/>
                <w:szCs w:val="24"/>
              </w:rPr>
            </w:pPr>
            <w:r>
              <w:rPr>
                <w:rFonts w:hint="eastAsia" w:ascii="黑体" w:hAnsi="黑体" w:eastAsia="黑体"/>
                <w:sz w:val="24"/>
                <w:szCs w:val="24"/>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029" w:type="dxa"/>
            <w:vMerge w:val="continue"/>
            <w:vAlign w:val="center"/>
          </w:tcPr>
          <w:p>
            <w:pPr>
              <w:adjustRightInd w:val="0"/>
              <w:snapToGrid w:val="0"/>
              <w:jc w:val="center"/>
              <w:rPr>
                <w:rFonts w:ascii="黑体" w:hAnsi="黑体" w:eastAsia="黑体"/>
                <w:sz w:val="24"/>
                <w:szCs w:val="24"/>
              </w:rPr>
            </w:pPr>
          </w:p>
        </w:tc>
        <w:tc>
          <w:tcPr>
            <w:tcW w:w="1595" w:type="dxa"/>
            <w:vAlign w:val="center"/>
          </w:tcPr>
          <w:p>
            <w:pPr>
              <w:adjustRightInd w:val="0"/>
              <w:snapToGrid w:val="0"/>
              <w:jc w:val="center"/>
              <w:rPr>
                <w:rFonts w:ascii="黑体" w:hAnsi="黑体" w:eastAsia="黑体"/>
                <w:sz w:val="24"/>
                <w:szCs w:val="24"/>
              </w:rPr>
            </w:pPr>
            <w:r>
              <w:rPr>
                <w:rFonts w:hint="eastAsia" w:ascii="黑体" w:hAnsi="黑体" w:eastAsia="黑体"/>
                <w:sz w:val="24"/>
                <w:szCs w:val="24"/>
              </w:rPr>
              <w:t>精制粉</w:t>
            </w:r>
          </w:p>
        </w:tc>
        <w:tc>
          <w:tcPr>
            <w:tcW w:w="1595" w:type="dxa"/>
            <w:vAlign w:val="center"/>
          </w:tcPr>
          <w:p>
            <w:pPr>
              <w:adjustRightInd w:val="0"/>
              <w:snapToGrid w:val="0"/>
              <w:jc w:val="center"/>
              <w:rPr>
                <w:rFonts w:ascii="黑体" w:hAnsi="黑体" w:eastAsia="黑体"/>
                <w:sz w:val="24"/>
                <w:szCs w:val="24"/>
              </w:rPr>
            </w:pPr>
            <w:r>
              <w:rPr>
                <w:rFonts w:hint="eastAsia" w:ascii="黑体" w:hAnsi="黑体" w:eastAsia="黑体"/>
                <w:sz w:val="24"/>
                <w:szCs w:val="24"/>
              </w:rPr>
              <w:t>标准粉</w:t>
            </w:r>
          </w:p>
        </w:tc>
        <w:tc>
          <w:tcPr>
            <w:tcW w:w="1596" w:type="dxa"/>
            <w:vAlign w:val="center"/>
          </w:tcPr>
          <w:p>
            <w:pPr>
              <w:adjustRightInd w:val="0"/>
              <w:snapToGrid w:val="0"/>
              <w:jc w:val="center"/>
              <w:rPr>
                <w:rFonts w:ascii="黑体" w:hAnsi="黑体" w:eastAsia="黑体"/>
                <w:sz w:val="24"/>
                <w:szCs w:val="24"/>
              </w:rPr>
            </w:pPr>
            <w:r>
              <w:rPr>
                <w:rFonts w:hint="eastAsia" w:ascii="黑体" w:hAnsi="黑体" w:eastAsia="黑体"/>
                <w:sz w:val="24"/>
                <w:szCs w:val="24"/>
              </w:rPr>
              <w:t>普通粉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029" w:type="dxa"/>
            <w:vAlign w:val="center"/>
          </w:tcPr>
          <w:p>
            <w:pPr>
              <w:adjustRightInd w:val="0"/>
              <w:snapToGrid w:val="0"/>
              <w:jc w:val="left"/>
              <w:rPr>
                <w:sz w:val="24"/>
                <w:szCs w:val="24"/>
              </w:rPr>
            </w:pPr>
            <w:r>
              <w:rPr>
                <w:rFonts w:hint="eastAsia"/>
                <w:sz w:val="24"/>
                <w:szCs w:val="24"/>
              </w:rPr>
              <w:t>加工精度</w:t>
            </w:r>
          </w:p>
        </w:tc>
        <w:tc>
          <w:tcPr>
            <w:tcW w:w="4786" w:type="dxa"/>
            <w:gridSpan w:val="3"/>
            <w:vAlign w:val="center"/>
          </w:tcPr>
          <w:p>
            <w:pPr>
              <w:adjustRightInd w:val="0"/>
              <w:snapToGrid w:val="0"/>
              <w:jc w:val="center"/>
              <w:rPr>
                <w:rFonts w:ascii="黑体" w:hAnsi="黑体" w:eastAsia="黑体"/>
                <w:sz w:val="28"/>
                <w:szCs w:val="28"/>
              </w:rPr>
            </w:pPr>
            <w:r>
              <w:rPr>
                <w:rFonts w:hint="eastAsia"/>
                <w:sz w:val="24"/>
                <w:szCs w:val="24"/>
              </w:rPr>
              <w:t>按标准样品或仪器测定值对照检验麸星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029" w:type="dxa"/>
            <w:vAlign w:val="center"/>
          </w:tcPr>
          <w:p>
            <w:pPr>
              <w:adjustRightInd w:val="0"/>
              <w:snapToGrid w:val="0"/>
              <w:jc w:val="left"/>
              <w:rPr>
                <w:sz w:val="24"/>
                <w:szCs w:val="24"/>
              </w:rPr>
            </w:pPr>
            <w:r>
              <w:rPr>
                <w:rFonts w:hint="eastAsia"/>
                <w:sz w:val="24"/>
                <w:szCs w:val="24"/>
              </w:rPr>
              <w:t xml:space="preserve">灰分含量(以干基计)/%         ≤     </w:t>
            </w:r>
          </w:p>
        </w:tc>
        <w:tc>
          <w:tcPr>
            <w:tcW w:w="1595" w:type="dxa"/>
            <w:vAlign w:val="center"/>
          </w:tcPr>
          <w:p>
            <w:pPr>
              <w:adjustRightInd w:val="0"/>
              <w:snapToGrid w:val="0"/>
              <w:jc w:val="center"/>
              <w:rPr>
                <w:sz w:val="24"/>
                <w:szCs w:val="24"/>
              </w:rPr>
            </w:pPr>
            <w:r>
              <w:rPr>
                <w:rFonts w:hint="eastAsia"/>
                <w:sz w:val="24"/>
                <w:szCs w:val="24"/>
              </w:rPr>
              <w:t>0.70</w:t>
            </w:r>
          </w:p>
        </w:tc>
        <w:tc>
          <w:tcPr>
            <w:tcW w:w="1595" w:type="dxa"/>
            <w:vAlign w:val="center"/>
          </w:tcPr>
          <w:p>
            <w:pPr>
              <w:adjustRightInd w:val="0"/>
              <w:snapToGrid w:val="0"/>
              <w:jc w:val="center"/>
              <w:rPr>
                <w:sz w:val="24"/>
                <w:szCs w:val="24"/>
              </w:rPr>
            </w:pPr>
            <w:r>
              <w:rPr>
                <w:rFonts w:hint="eastAsia"/>
                <w:sz w:val="24"/>
                <w:szCs w:val="24"/>
              </w:rPr>
              <w:t>1.10</w:t>
            </w:r>
          </w:p>
        </w:tc>
        <w:tc>
          <w:tcPr>
            <w:tcW w:w="1596" w:type="dxa"/>
            <w:vAlign w:val="center"/>
          </w:tcPr>
          <w:p>
            <w:pPr>
              <w:adjustRightInd w:val="0"/>
              <w:snapToGrid w:val="0"/>
              <w:jc w:val="center"/>
              <w:rPr>
                <w:sz w:val="24"/>
                <w:szCs w:val="24"/>
              </w:rPr>
            </w:pPr>
            <w:r>
              <w:rPr>
                <w:rFonts w:hint="eastAsia"/>
                <w:sz w:val="24"/>
                <w:szCs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029" w:type="dxa"/>
            <w:vAlign w:val="center"/>
          </w:tcPr>
          <w:p>
            <w:pPr>
              <w:adjustRightInd w:val="0"/>
              <w:snapToGrid w:val="0"/>
              <w:jc w:val="left"/>
              <w:rPr>
                <w:sz w:val="24"/>
                <w:szCs w:val="24"/>
              </w:rPr>
            </w:pPr>
            <w:r>
              <w:rPr>
                <w:rFonts w:hint="eastAsia"/>
                <w:sz w:val="24"/>
                <w:szCs w:val="24"/>
              </w:rPr>
              <w:t xml:space="preserve">脂肪酸值(以湿基，KOH计) / (mg/100 g)                   ≤                     </w:t>
            </w:r>
          </w:p>
        </w:tc>
        <w:tc>
          <w:tcPr>
            <w:tcW w:w="4786" w:type="dxa"/>
            <w:gridSpan w:val="3"/>
            <w:vAlign w:val="center"/>
          </w:tcPr>
          <w:p>
            <w:pPr>
              <w:adjustRightInd w:val="0"/>
              <w:snapToGrid w:val="0"/>
              <w:jc w:val="center"/>
              <w:rPr>
                <w:sz w:val="24"/>
                <w:szCs w:val="24"/>
              </w:rPr>
            </w:pPr>
            <w:r>
              <w:rPr>
                <w:rFonts w:hint="eastAsia"/>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029" w:type="dxa"/>
            <w:vAlign w:val="center"/>
          </w:tcPr>
          <w:p>
            <w:pPr>
              <w:adjustRightInd w:val="0"/>
              <w:snapToGrid w:val="0"/>
              <w:jc w:val="left"/>
              <w:rPr>
                <w:sz w:val="24"/>
                <w:szCs w:val="24"/>
              </w:rPr>
            </w:pPr>
            <w:r>
              <w:rPr>
                <w:rFonts w:hint="eastAsia"/>
                <w:sz w:val="24"/>
                <w:szCs w:val="24"/>
              </w:rPr>
              <w:t xml:space="preserve">水分含量/%                  ≤        </w:t>
            </w:r>
          </w:p>
        </w:tc>
        <w:tc>
          <w:tcPr>
            <w:tcW w:w="4786" w:type="dxa"/>
            <w:gridSpan w:val="3"/>
            <w:vAlign w:val="center"/>
          </w:tcPr>
          <w:p>
            <w:pPr>
              <w:adjustRightInd w:val="0"/>
              <w:snapToGrid w:val="0"/>
              <w:jc w:val="center"/>
              <w:rPr>
                <w:sz w:val="24"/>
                <w:szCs w:val="24"/>
              </w:rPr>
            </w:pPr>
            <w:r>
              <w:rPr>
                <w:rFonts w:hint="eastAsia"/>
                <w:sz w:val="24"/>
                <w:szCs w:val="24"/>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029" w:type="dxa"/>
            <w:vAlign w:val="center"/>
          </w:tcPr>
          <w:p>
            <w:pPr>
              <w:adjustRightInd w:val="0"/>
              <w:snapToGrid w:val="0"/>
              <w:jc w:val="left"/>
              <w:rPr>
                <w:sz w:val="24"/>
                <w:szCs w:val="24"/>
              </w:rPr>
            </w:pPr>
            <w:r>
              <w:rPr>
                <w:rFonts w:hint="eastAsia"/>
                <w:sz w:val="24"/>
                <w:szCs w:val="24"/>
              </w:rPr>
              <w:t>含砂量/%                    ≤</w:t>
            </w:r>
          </w:p>
        </w:tc>
        <w:tc>
          <w:tcPr>
            <w:tcW w:w="4786" w:type="dxa"/>
            <w:gridSpan w:val="3"/>
            <w:vAlign w:val="center"/>
          </w:tcPr>
          <w:p>
            <w:pPr>
              <w:adjustRightInd w:val="0"/>
              <w:snapToGrid w:val="0"/>
              <w:jc w:val="center"/>
              <w:rPr>
                <w:sz w:val="24"/>
                <w:szCs w:val="24"/>
              </w:rPr>
            </w:pPr>
            <w:r>
              <w:rPr>
                <w:rFonts w:hint="eastAsia"/>
                <w:sz w:val="24"/>
                <w:szCs w:val="24"/>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029" w:type="dxa"/>
            <w:vAlign w:val="center"/>
          </w:tcPr>
          <w:p>
            <w:pPr>
              <w:adjustRightInd w:val="0"/>
              <w:snapToGrid w:val="0"/>
              <w:jc w:val="left"/>
              <w:rPr>
                <w:sz w:val="24"/>
                <w:szCs w:val="24"/>
              </w:rPr>
            </w:pPr>
            <w:r>
              <w:rPr>
                <w:rFonts w:hint="eastAsia"/>
                <w:sz w:val="24"/>
                <w:szCs w:val="24"/>
              </w:rPr>
              <w:t>磁性金属物/(g/kg)             ≤</w:t>
            </w:r>
          </w:p>
        </w:tc>
        <w:tc>
          <w:tcPr>
            <w:tcW w:w="4786" w:type="dxa"/>
            <w:gridSpan w:val="3"/>
            <w:vAlign w:val="center"/>
          </w:tcPr>
          <w:p>
            <w:pPr>
              <w:adjustRightInd w:val="0"/>
              <w:snapToGrid w:val="0"/>
              <w:jc w:val="center"/>
              <w:rPr>
                <w:sz w:val="24"/>
                <w:szCs w:val="24"/>
              </w:rPr>
            </w:pPr>
            <w:r>
              <w:rPr>
                <w:rFonts w:hint="eastAsia"/>
                <w:sz w:val="24"/>
                <w:szCs w:val="24"/>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029" w:type="dxa"/>
            <w:vAlign w:val="center"/>
          </w:tcPr>
          <w:p>
            <w:pPr>
              <w:adjustRightInd w:val="0"/>
              <w:snapToGrid w:val="0"/>
              <w:jc w:val="left"/>
              <w:rPr>
                <w:sz w:val="24"/>
                <w:szCs w:val="24"/>
              </w:rPr>
            </w:pPr>
            <w:r>
              <w:rPr>
                <w:rFonts w:hint="eastAsia"/>
                <w:sz w:val="24"/>
                <w:szCs w:val="24"/>
              </w:rPr>
              <w:t>湿面筋含量/%                ≥</w:t>
            </w:r>
          </w:p>
        </w:tc>
        <w:tc>
          <w:tcPr>
            <w:tcW w:w="4786" w:type="dxa"/>
            <w:gridSpan w:val="3"/>
            <w:vAlign w:val="center"/>
          </w:tcPr>
          <w:p>
            <w:pPr>
              <w:adjustRightInd w:val="0"/>
              <w:snapToGrid w:val="0"/>
              <w:jc w:val="center"/>
              <w:rPr>
                <w:sz w:val="24"/>
                <w:szCs w:val="24"/>
              </w:rPr>
            </w:pPr>
            <w:r>
              <w:rPr>
                <w:rFonts w:hint="eastAsia"/>
                <w:sz w:val="24"/>
                <w:szCs w:val="24"/>
              </w:rPr>
              <w:t>22.0</w:t>
            </w:r>
          </w:p>
        </w:tc>
      </w:tr>
    </w:tbl>
    <w:p>
      <w:pPr>
        <w:spacing w:line="360" w:lineRule="auto"/>
        <w:jc w:val="center"/>
        <w:rPr>
          <w:rFonts w:ascii="黑体" w:hAnsi="黑体" w:eastAsia="黑体"/>
          <w:sz w:val="28"/>
          <w:szCs w:val="28"/>
        </w:rPr>
      </w:pPr>
      <w:r>
        <w:rPr>
          <w:rFonts w:hint="eastAsia" w:ascii="黑体" w:hAnsi="黑体" w:eastAsia="黑体"/>
          <w:sz w:val="28"/>
          <w:szCs w:val="28"/>
        </w:rPr>
        <w:t>表4 专用小麦粉</w:t>
      </w:r>
      <w:r>
        <w:rPr>
          <w:rFonts w:ascii="黑体" w:hAnsi="黑体" w:eastAsia="黑体"/>
          <w:sz w:val="28"/>
          <w:szCs w:val="28"/>
        </w:rPr>
        <w:t>的理化指标要求</w:t>
      </w:r>
    </w:p>
    <w:tbl>
      <w:tblPr>
        <w:tblStyle w:val="7"/>
        <w:tblW w:w="9723" w:type="dxa"/>
        <w:jc w:val="center"/>
        <w:tblLayout w:type="fixed"/>
        <w:tblCellMar>
          <w:top w:w="0" w:type="dxa"/>
          <w:left w:w="108" w:type="dxa"/>
          <w:bottom w:w="0" w:type="dxa"/>
          <w:right w:w="108" w:type="dxa"/>
        </w:tblCellMar>
      </w:tblPr>
      <w:tblGrid>
        <w:gridCol w:w="2923"/>
        <w:gridCol w:w="971"/>
        <w:gridCol w:w="971"/>
        <w:gridCol w:w="900"/>
        <w:gridCol w:w="1043"/>
        <w:gridCol w:w="972"/>
        <w:gridCol w:w="1050"/>
        <w:gridCol w:w="893"/>
      </w:tblGrid>
      <w:tr>
        <w:trPr>
          <w:trHeight w:val="360" w:hRule="atLeast"/>
          <w:jc w:val="center"/>
        </w:trPr>
        <w:tc>
          <w:tcPr>
            <w:tcW w:w="2923" w:type="dxa"/>
            <w:vMerge w:val="restart"/>
            <w:tcBorders>
              <w:top w:val="single" w:color="000000" w:sz="4" w:space="0"/>
              <w:left w:val="single" w:color="000000" w:sz="4" w:space="0"/>
              <w:right w:val="single" w:color="auto" w:sz="4" w:space="0"/>
            </w:tcBorders>
            <w:shd w:val="clear" w:color="auto" w:fill="auto"/>
            <w:noWrap/>
            <w:tcMar>
              <w:left w:w="28" w:type="dxa"/>
              <w:right w:w="28" w:type="dxa"/>
            </w:tcMar>
            <w:vAlign w:val="center"/>
          </w:tcPr>
          <w:p>
            <w:pPr>
              <w:jc w:val="center"/>
              <w:rPr>
                <w:rFonts w:ascii="黑体" w:hAnsi="黑体" w:eastAsia="黑体" w:cs="Arial"/>
                <w:color w:val="000000"/>
                <w:kern w:val="0"/>
                <w:sz w:val="21"/>
                <w:szCs w:val="21"/>
              </w:rPr>
            </w:pPr>
            <w:r>
              <w:rPr>
                <w:rFonts w:hint="eastAsia" w:ascii="黑体" w:hAnsi="黑体" w:eastAsia="黑体" w:cs="Arial"/>
                <w:color w:val="000000"/>
                <w:kern w:val="0"/>
                <w:sz w:val="21"/>
                <w:szCs w:val="21"/>
              </w:rPr>
              <w:t>项目</w:t>
            </w:r>
          </w:p>
        </w:tc>
        <w:tc>
          <w:tcPr>
            <w:tcW w:w="6800" w:type="dxa"/>
            <w:gridSpan w:val="7"/>
            <w:tcBorders>
              <w:top w:val="single" w:color="auto" w:sz="4" w:space="0"/>
              <w:left w:val="single" w:color="auto" w:sz="4" w:space="0"/>
              <w:bottom w:val="single" w:color="auto" w:sz="4" w:space="0"/>
              <w:right w:val="single" w:color="auto" w:sz="4" w:space="0"/>
            </w:tcBorders>
            <w:tcMar>
              <w:left w:w="28" w:type="dxa"/>
              <w:right w:w="28" w:type="dxa"/>
            </w:tcMar>
          </w:tcPr>
          <w:p>
            <w:pPr>
              <w:widowControl/>
              <w:jc w:val="center"/>
              <w:rPr>
                <w:rFonts w:ascii="黑体" w:hAnsi="黑体" w:eastAsia="黑体" w:cs="Arial"/>
                <w:color w:val="000000"/>
                <w:kern w:val="0"/>
                <w:sz w:val="21"/>
                <w:szCs w:val="21"/>
              </w:rPr>
            </w:pPr>
            <w:r>
              <w:rPr>
                <w:rFonts w:hint="eastAsia" w:ascii="黑体" w:hAnsi="黑体" w:eastAsia="黑体" w:cs="Arial"/>
                <w:color w:val="000000"/>
                <w:kern w:val="0"/>
                <w:sz w:val="21"/>
                <w:szCs w:val="21"/>
              </w:rPr>
              <w:t>指标</w:t>
            </w:r>
          </w:p>
        </w:tc>
      </w:tr>
      <w:tr>
        <w:trPr>
          <w:trHeight w:val="360" w:hRule="atLeast"/>
          <w:jc w:val="center"/>
        </w:trPr>
        <w:tc>
          <w:tcPr>
            <w:tcW w:w="2923" w:type="dxa"/>
            <w:vMerge w:val="continue"/>
            <w:tcBorders>
              <w:left w:val="single" w:color="000000" w:sz="4" w:space="0"/>
              <w:bottom w:val="single" w:color="000000" w:sz="4" w:space="0"/>
              <w:right w:val="single" w:color="auto" w:sz="4" w:space="0"/>
            </w:tcBorders>
            <w:shd w:val="clear" w:color="auto" w:fill="auto"/>
            <w:noWrap/>
            <w:tcMar>
              <w:left w:w="28" w:type="dxa"/>
              <w:right w:w="28" w:type="dxa"/>
            </w:tcMar>
            <w:vAlign w:val="center"/>
          </w:tcPr>
          <w:p>
            <w:pPr>
              <w:widowControl/>
              <w:jc w:val="center"/>
              <w:rPr>
                <w:rFonts w:ascii="黑体" w:hAnsi="黑体" w:eastAsia="黑体" w:cs="Arial"/>
                <w:color w:val="000000"/>
                <w:kern w:val="0"/>
                <w:sz w:val="21"/>
                <w:szCs w:val="21"/>
              </w:rPr>
            </w:pPr>
          </w:p>
        </w:tc>
        <w:tc>
          <w:tcPr>
            <w:tcW w:w="971" w:type="dxa"/>
            <w:tcBorders>
              <w:top w:val="single" w:color="auto" w:sz="4" w:space="0"/>
              <w:left w:val="single" w:color="auto" w:sz="4" w:space="0"/>
              <w:bottom w:val="single" w:color="auto" w:sz="4" w:space="0"/>
              <w:right w:val="single" w:color="auto" w:sz="4" w:space="0"/>
            </w:tcBorders>
            <w:tcMar>
              <w:left w:w="28" w:type="dxa"/>
              <w:right w:w="28" w:type="dxa"/>
            </w:tcMar>
          </w:tcPr>
          <w:p>
            <w:pPr>
              <w:widowControl/>
              <w:jc w:val="center"/>
              <w:rPr>
                <w:rFonts w:ascii="黑体" w:hAnsi="黑体" w:eastAsia="黑体" w:cs="Arial"/>
                <w:color w:val="000000"/>
                <w:kern w:val="0"/>
                <w:sz w:val="21"/>
                <w:szCs w:val="21"/>
              </w:rPr>
            </w:pPr>
            <w:r>
              <w:rPr>
                <w:rFonts w:hint="eastAsia" w:ascii="黑体" w:hAnsi="黑体" w:eastAsia="黑体" w:cs="Arial"/>
                <w:color w:val="000000"/>
                <w:kern w:val="0"/>
                <w:sz w:val="21"/>
                <w:szCs w:val="21"/>
              </w:rPr>
              <w:t>面包用小麦粉</w:t>
            </w:r>
          </w:p>
        </w:tc>
        <w:tc>
          <w:tcPr>
            <w:tcW w:w="971" w:type="dxa"/>
            <w:tcBorders>
              <w:top w:val="nil"/>
              <w:left w:val="single" w:color="auto" w:sz="4" w:space="0"/>
              <w:bottom w:val="single" w:color="000000" w:sz="4" w:space="0"/>
              <w:right w:val="single" w:color="auto" w:sz="4" w:space="0"/>
            </w:tcBorders>
            <w:tcMar>
              <w:left w:w="28" w:type="dxa"/>
              <w:right w:w="28" w:type="dxa"/>
            </w:tcMar>
          </w:tcPr>
          <w:p>
            <w:pPr>
              <w:widowControl/>
              <w:jc w:val="center"/>
              <w:rPr>
                <w:rFonts w:ascii="黑体" w:hAnsi="黑体" w:eastAsia="黑体" w:cs="Arial"/>
                <w:color w:val="000000"/>
                <w:kern w:val="0"/>
                <w:sz w:val="21"/>
                <w:szCs w:val="21"/>
              </w:rPr>
            </w:pPr>
            <w:r>
              <w:rPr>
                <w:rFonts w:hint="eastAsia" w:ascii="黑体" w:hAnsi="黑体" w:eastAsia="黑体" w:cs="Arial"/>
                <w:color w:val="000000"/>
                <w:kern w:val="0"/>
                <w:sz w:val="21"/>
                <w:szCs w:val="21"/>
              </w:rPr>
              <w:t>面条用小麦粉</w:t>
            </w:r>
          </w:p>
        </w:tc>
        <w:tc>
          <w:tcPr>
            <w:tcW w:w="900" w:type="dxa"/>
            <w:tcBorders>
              <w:top w:val="nil"/>
              <w:left w:val="single" w:color="auto" w:sz="4" w:space="0"/>
              <w:bottom w:val="single" w:color="000000" w:sz="4" w:space="0"/>
              <w:right w:val="single" w:color="auto" w:sz="4" w:space="0"/>
            </w:tcBorders>
            <w:tcMar>
              <w:left w:w="28" w:type="dxa"/>
              <w:right w:w="28" w:type="dxa"/>
            </w:tcMar>
          </w:tcPr>
          <w:p>
            <w:pPr>
              <w:widowControl/>
              <w:jc w:val="center"/>
              <w:rPr>
                <w:rFonts w:ascii="黑体" w:hAnsi="黑体" w:eastAsia="黑体" w:cs="Arial"/>
                <w:color w:val="000000"/>
                <w:kern w:val="0"/>
                <w:sz w:val="21"/>
                <w:szCs w:val="21"/>
              </w:rPr>
            </w:pPr>
            <w:r>
              <w:rPr>
                <w:rFonts w:hint="eastAsia" w:ascii="黑体" w:hAnsi="黑体" w:eastAsia="黑体" w:cs="Arial"/>
                <w:color w:val="000000"/>
                <w:kern w:val="0"/>
                <w:sz w:val="21"/>
                <w:szCs w:val="21"/>
              </w:rPr>
              <w:t>饺子用小麦粉</w:t>
            </w:r>
          </w:p>
        </w:tc>
        <w:tc>
          <w:tcPr>
            <w:tcW w:w="1043" w:type="dxa"/>
            <w:tcBorders>
              <w:top w:val="nil"/>
              <w:left w:val="single" w:color="auto" w:sz="4" w:space="0"/>
              <w:bottom w:val="single" w:color="000000" w:sz="4" w:space="0"/>
              <w:right w:val="single" w:color="auto" w:sz="4" w:space="0"/>
            </w:tcBorders>
            <w:tcMar>
              <w:left w:w="28" w:type="dxa"/>
              <w:right w:w="28" w:type="dxa"/>
            </w:tcMar>
          </w:tcPr>
          <w:p>
            <w:pPr>
              <w:widowControl/>
              <w:jc w:val="center"/>
              <w:rPr>
                <w:rFonts w:ascii="黑体" w:hAnsi="黑体" w:eastAsia="黑体" w:cs="Arial"/>
                <w:color w:val="000000"/>
                <w:kern w:val="0"/>
                <w:sz w:val="21"/>
                <w:szCs w:val="21"/>
              </w:rPr>
            </w:pPr>
            <w:r>
              <w:rPr>
                <w:rFonts w:hint="eastAsia" w:ascii="黑体" w:hAnsi="黑体" w:eastAsia="黑体" w:cs="Arial"/>
                <w:color w:val="000000"/>
                <w:kern w:val="0"/>
                <w:sz w:val="21"/>
                <w:szCs w:val="21"/>
              </w:rPr>
              <w:t>馒头用小麦粉</w:t>
            </w:r>
          </w:p>
        </w:tc>
        <w:tc>
          <w:tcPr>
            <w:tcW w:w="972" w:type="dxa"/>
            <w:tcBorders>
              <w:top w:val="nil"/>
              <w:left w:val="single" w:color="auto" w:sz="4" w:space="0"/>
              <w:bottom w:val="single" w:color="000000" w:sz="4" w:space="0"/>
              <w:right w:val="single" w:color="auto" w:sz="4" w:space="0"/>
            </w:tcBorders>
            <w:tcMar>
              <w:left w:w="28" w:type="dxa"/>
              <w:right w:w="28" w:type="dxa"/>
            </w:tcMar>
          </w:tcPr>
          <w:p>
            <w:pPr>
              <w:widowControl/>
              <w:jc w:val="center"/>
              <w:rPr>
                <w:rFonts w:ascii="黑体" w:hAnsi="黑体" w:eastAsia="黑体" w:cs="Arial"/>
                <w:color w:val="000000"/>
                <w:kern w:val="0"/>
                <w:sz w:val="21"/>
                <w:szCs w:val="21"/>
              </w:rPr>
            </w:pPr>
            <w:r>
              <w:rPr>
                <w:rFonts w:hint="eastAsia" w:ascii="黑体" w:hAnsi="黑体" w:eastAsia="黑体" w:cs="Arial"/>
                <w:color w:val="000000"/>
                <w:kern w:val="0"/>
                <w:sz w:val="21"/>
                <w:szCs w:val="21"/>
              </w:rPr>
              <w:t>糕点用小麦粉</w:t>
            </w:r>
          </w:p>
        </w:tc>
        <w:tc>
          <w:tcPr>
            <w:tcW w:w="1050" w:type="dxa"/>
            <w:tcBorders>
              <w:top w:val="nil"/>
              <w:left w:val="single" w:color="auto" w:sz="4" w:space="0"/>
              <w:bottom w:val="single" w:color="000000" w:sz="4" w:space="0"/>
              <w:right w:val="single" w:color="auto" w:sz="4" w:space="0"/>
            </w:tcBorders>
            <w:tcMar>
              <w:left w:w="28" w:type="dxa"/>
              <w:right w:w="28" w:type="dxa"/>
            </w:tcMar>
          </w:tcPr>
          <w:p>
            <w:pPr>
              <w:widowControl/>
              <w:jc w:val="center"/>
              <w:rPr>
                <w:rFonts w:ascii="黑体" w:hAnsi="黑体" w:eastAsia="黑体" w:cs="Arial"/>
                <w:color w:val="000000"/>
                <w:kern w:val="0"/>
                <w:sz w:val="21"/>
                <w:szCs w:val="21"/>
              </w:rPr>
            </w:pPr>
            <w:r>
              <w:rPr>
                <w:rFonts w:hint="eastAsia" w:ascii="黑体" w:hAnsi="黑体" w:eastAsia="黑体" w:cs="Arial"/>
                <w:color w:val="000000"/>
                <w:kern w:val="0"/>
                <w:sz w:val="21"/>
                <w:szCs w:val="21"/>
              </w:rPr>
              <w:t>饼干用小麦粉</w:t>
            </w:r>
          </w:p>
        </w:tc>
        <w:tc>
          <w:tcPr>
            <w:tcW w:w="893" w:type="dxa"/>
            <w:tcBorders>
              <w:top w:val="nil"/>
              <w:left w:val="single" w:color="auto" w:sz="4" w:space="0"/>
              <w:bottom w:val="single" w:color="000000" w:sz="4" w:space="0"/>
              <w:right w:val="single" w:color="auto" w:sz="4" w:space="0"/>
            </w:tcBorders>
            <w:tcMar>
              <w:left w:w="28" w:type="dxa"/>
              <w:right w:w="28" w:type="dxa"/>
            </w:tcMar>
          </w:tcPr>
          <w:p>
            <w:pPr>
              <w:widowControl/>
              <w:jc w:val="center"/>
              <w:rPr>
                <w:rFonts w:ascii="黑体" w:hAnsi="黑体" w:eastAsia="黑体" w:cs="Arial"/>
                <w:color w:val="000000"/>
                <w:kern w:val="0"/>
                <w:sz w:val="21"/>
                <w:szCs w:val="21"/>
              </w:rPr>
            </w:pPr>
            <w:r>
              <w:rPr>
                <w:rFonts w:hint="eastAsia" w:ascii="黑体" w:hAnsi="黑体" w:eastAsia="黑体" w:cs="Arial"/>
                <w:color w:val="000000"/>
                <w:kern w:val="0"/>
                <w:sz w:val="21"/>
                <w:szCs w:val="21"/>
              </w:rPr>
              <w:t>强筋用小麦粉</w:t>
            </w:r>
          </w:p>
        </w:tc>
      </w:tr>
      <w:tr>
        <w:trPr>
          <w:trHeight w:val="360" w:hRule="atLeast"/>
          <w:jc w:val="center"/>
        </w:trPr>
        <w:tc>
          <w:tcPr>
            <w:tcW w:w="2923" w:type="dxa"/>
            <w:tcBorders>
              <w:top w:val="nil"/>
              <w:left w:val="single" w:color="000000" w:sz="4" w:space="0"/>
              <w:bottom w:val="single" w:color="000000" w:sz="4" w:space="0"/>
              <w:right w:val="single" w:color="auto" w:sz="4" w:space="0"/>
            </w:tcBorders>
            <w:shd w:val="clear" w:color="auto" w:fill="auto"/>
            <w:noWrap/>
            <w:tcMar>
              <w:left w:w="28" w:type="dxa"/>
              <w:right w:w="28" w:type="dxa"/>
            </w:tcMar>
            <w:vAlign w:val="center"/>
          </w:tcPr>
          <w:p>
            <w:pPr>
              <w:widowControl/>
              <w:jc w:val="left"/>
              <w:rPr>
                <w:color w:val="000000"/>
                <w:kern w:val="0"/>
                <w:sz w:val="21"/>
                <w:szCs w:val="21"/>
              </w:rPr>
            </w:pPr>
            <w:r>
              <w:rPr>
                <w:color w:val="000000"/>
                <w:kern w:val="0"/>
                <w:sz w:val="21"/>
                <w:szCs w:val="21"/>
              </w:rPr>
              <w:t>湿面筋含量/%</w:t>
            </w:r>
          </w:p>
        </w:tc>
        <w:tc>
          <w:tcPr>
            <w:tcW w:w="97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jc w:val="center"/>
              <w:rPr>
                <w:color w:val="000000"/>
                <w:kern w:val="0"/>
                <w:sz w:val="21"/>
                <w:szCs w:val="21"/>
              </w:rPr>
            </w:pPr>
            <w:r>
              <w:rPr>
                <w:rFonts w:hint="eastAsia"/>
                <w:sz w:val="24"/>
                <w:szCs w:val="24"/>
              </w:rPr>
              <w:t>≥</w:t>
            </w:r>
            <w:r>
              <w:rPr>
                <w:color w:val="000000"/>
                <w:kern w:val="0"/>
                <w:sz w:val="21"/>
                <w:szCs w:val="21"/>
              </w:rPr>
              <w:t>30.0</w:t>
            </w:r>
          </w:p>
        </w:tc>
        <w:tc>
          <w:tcPr>
            <w:tcW w:w="971" w:type="dxa"/>
            <w:tcBorders>
              <w:top w:val="single" w:color="000000" w:sz="4" w:space="0"/>
              <w:left w:val="single" w:color="auto" w:sz="4" w:space="0"/>
              <w:bottom w:val="single" w:color="000000" w:sz="4" w:space="0"/>
              <w:right w:val="single" w:color="auto" w:sz="4" w:space="0"/>
            </w:tcBorders>
            <w:tcMar>
              <w:left w:w="28" w:type="dxa"/>
              <w:right w:w="28" w:type="dxa"/>
            </w:tcMar>
            <w:vAlign w:val="center"/>
          </w:tcPr>
          <w:p>
            <w:pPr>
              <w:widowControl/>
              <w:jc w:val="center"/>
              <w:rPr>
                <w:color w:val="000000"/>
                <w:kern w:val="0"/>
                <w:sz w:val="21"/>
                <w:szCs w:val="21"/>
              </w:rPr>
            </w:pPr>
            <w:r>
              <w:rPr>
                <w:rFonts w:hint="eastAsia"/>
                <w:sz w:val="24"/>
                <w:szCs w:val="24"/>
              </w:rPr>
              <w:t>≥</w:t>
            </w:r>
            <w:r>
              <w:rPr>
                <w:color w:val="000000"/>
                <w:kern w:val="0"/>
                <w:sz w:val="21"/>
                <w:szCs w:val="21"/>
              </w:rPr>
              <w:t>28.0</w:t>
            </w:r>
          </w:p>
        </w:tc>
        <w:tc>
          <w:tcPr>
            <w:tcW w:w="900" w:type="dxa"/>
            <w:tcBorders>
              <w:top w:val="single" w:color="000000" w:sz="4" w:space="0"/>
              <w:left w:val="single" w:color="auto" w:sz="4" w:space="0"/>
              <w:bottom w:val="single" w:color="000000" w:sz="4" w:space="0"/>
              <w:right w:val="single" w:color="auto" w:sz="4" w:space="0"/>
            </w:tcBorders>
            <w:tcMar>
              <w:left w:w="28" w:type="dxa"/>
              <w:right w:w="28" w:type="dxa"/>
            </w:tcMar>
            <w:vAlign w:val="center"/>
          </w:tcPr>
          <w:p>
            <w:pPr>
              <w:widowControl/>
              <w:jc w:val="center"/>
              <w:rPr>
                <w:color w:val="000000"/>
                <w:kern w:val="0"/>
                <w:sz w:val="21"/>
                <w:szCs w:val="21"/>
              </w:rPr>
            </w:pPr>
            <w:r>
              <w:rPr>
                <w:rFonts w:hint="eastAsia"/>
                <w:sz w:val="24"/>
                <w:szCs w:val="24"/>
              </w:rPr>
              <w:t>≥</w:t>
            </w:r>
            <w:r>
              <w:rPr>
                <w:color w:val="000000"/>
                <w:kern w:val="0"/>
                <w:sz w:val="21"/>
                <w:szCs w:val="21"/>
              </w:rPr>
              <w:t>28.0</w:t>
            </w:r>
          </w:p>
        </w:tc>
        <w:tc>
          <w:tcPr>
            <w:tcW w:w="1043" w:type="dxa"/>
            <w:tcBorders>
              <w:top w:val="single" w:color="000000" w:sz="4" w:space="0"/>
              <w:left w:val="single" w:color="auto" w:sz="4" w:space="0"/>
              <w:bottom w:val="single" w:color="000000" w:sz="4" w:space="0"/>
              <w:right w:val="single" w:color="auto" w:sz="4" w:space="0"/>
            </w:tcBorders>
            <w:tcMar>
              <w:left w:w="28" w:type="dxa"/>
              <w:right w:w="28" w:type="dxa"/>
            </w:tcMar>
            <w:vAlign w:val="center"/>
          </w:tcPr>
          <w:p>
            <w:pPr>
              <w:widowControl/>
              <w:jc w:val="center"/>
              <w:rPr>
                <w:color w:val="000000"/>
                <w:kern w:val="0"/>
                <w:sz w:val="21"/>
                <w:szCs w:val="21"/>
              </w:rPr>
            </w:pPr>
            <w:r>
              <w:rPr>
                <w:color w:val="000000"/>
                <w:kern w:val="0"/>
                <w:sz w:val="21"/>
                <w:szCs w:val="21"/>
              </w:rPr>
              <w:t>25.0-30.0</w:t>
            </w:r>
          </w:p>
        </w:tc>
        <w:tc>
          <w:tcPr>
            <w:tcW w:w="972" w:type="dxa"/>
            <w:tcBorders>
              <w:top w:val="single" w:color="000000" w:sz="4" w:space="0"/>
              <w:left w:val="single" w:color="auto" w:sz="4" w:space="0"/>
              <w:bottom w:val="single" w:color="000000" w:sz="4" w:space="0"/>
              <w:right w:val="single" w:color="auto" w:sz="4" w:space="0"/>
            </w:tcBorders>
            <w:tcMar>
              <w:left w:w="28" w:type="dxa"/>
              <w:right w:w="28" w:type="dxa"/>
            </w:tcMar>
            <w:vAlign w:val="center"/>
          </w:tcPr>
          <w:p>
            <w:pPr>
              <w:widowControl/>
              <w:jc w:val="center"/>
              <w:rPr>
                <w:color w:val="000000"/>
                <w:kern w:val="0"/>
                <w:sz w:val="21"/>
                <w:szCs w:val="21"/>
              </w:rPr>
            </w:pPr>
            <w:r>
              <w:rPr>
                <w:rFonts w:hint="eastAsia"/>
                <w:sz w:val="24"/>
                <w:szCs w:val="24"/>
              </w:rPr>
              <w:t>≤</w:t>
            </w:r>
            <w:r>
              <w:rPr>
                <w:color w:val="000000"/>
                <w:kern w:val="0"/>
                <w:sz w:val="21"/>
                <w:szCs w:val="21"/>
              </w:rPr>
              <w:t>24.0</w:t>
            </w:r>
          </w:p>
        </w:tc>
        <w:tc>
          <w:tcPr>
            <w:tcW w:w="1050" w:type="dxa"/>
            <w:tcBorders>
              <w:top w:val="single" w:color="000000" w:sz="4" w:space="0"/>
              <w:left w:val="single" w:color="auto" w:sz="4" w:space="0"/>
              <w:bottom w:val="single" w:color="000000" w:sz="4" w:space="0"/>
              <w:right w:val="single" w:color="auto" w:sz="4" w:space="0"/>
            </w:tcBorders>
            <w:tcMar>
              <w:left w:w="28" w:type="dxa"/>
              <w:right w:w="28" w:type="dxa"/>
            </w:tcMar>
            <w:vAlign w:val="center"/>
          </w:tcPr>
          <w:p>
            <w:pPr>
              <w:widowControl/>
              <w:jc w:val="center"/>
              <w:rPr>
                <w:color w:val="000000"/>
                <w:kern w:val="0"/>
                <w:sz w:val="21"/>
                <w:szCs w:val="21"/>
              </w:rPr>
            </w:pPr>
            <w:r>
              <w:rPr>
                <w:color w:val="000000"/>
                <w:kern w:val="0"/>
                <w:sz w:val="21"/>
                <w:szCs w:val="21"/>
              </w:rPr>
              <w:t>24.0-27.0</w:t>
            </w:r>
          </w:p>
        </w:tc>
        <w:tc>
          <w:tcPr>
            <w:tcW w:w="893" w:type="dxa"/>
            <w:tcBorders>
              <w:top w:val="single" w:color="000000" w:sz="4" w:space="0"/>
              <w:left w:val="single" w:color="auto" w:sz="4" w:space="0"/>
              <w:bottom w:val="single" w:color="000000" w:sz="4" w:space="0"/>
              <w:right w:val="single" w:color="auto" w:sz="4" w:space="0"/>
            </w:tcBorders>
            <w:tcMar>
              <w:left w:w="28" w:type="dxa"/>
              <w:right w:w="28" w:type="dxa"/>
            </w:tcMar>
            <w:vAlign w:val="center"/>
          </w:tcPr>
          <w:p>
            <w:pPr>
              <w:widowControl/>
              <w:jc w:val="center"/>
              <w:rPr>
                <w:color w:val="000000"/>
                <w:kern w:val="0"/>
                <w:sz w:val="21"/>
                <w:szCs w:val="21"/>
              </w:rPr>
            </w:pPr>
            <w:r>
              <w:rPr>
                <w:rFonts w:hint="eastAsia"/>
                <w:sz w:val="24"/>
                <w:szCs w:val="24"/>
              </w:rPr>
              <w:t>≥</w:t>
            </w:r>
            <w:r>
              <w:rPr>
                <w:color w:val="000000"/>
                <w:kern w:val="0"/>
                <w:sz w:val="21"/>
                <w:szCs w:val="21"/>
              </w:rPr>
              <w:t>35.0</w:t>
            </w:r>
          </w:p>
        </w:tc>
      </w:tr>
      <w:tr>
        <w:trPr>
          <w:trHeight w:val="360" w:hRule="atLeast"/>
          <w:jc w:val="center"/>
        </w:trPr>
        <w:tc>
          <w:tcPr>
            <w:tcW w:w="2923" w:type="dxa"/>
            <w:tcBorders>
              <w:top w:val="nil"/>
              <w:left w:val="single" w:color="000000" w:sz="4" w:space="0"/>
              <w:bottom w:val="single" w:color="000000" w:sz="4" w:space="0"/>
              <w:right w:val="single" w:color="auto" w:sz="4" w:space="0"/>
            </w:tcBorders>
            <w:shd w:val="clear" w:color="auto" w:fill="auto"/>
            <w:noWrap/>
            <w:tcMar>
              <w:left w:w="28" w:type="dxa"/>
              <w:right w:w="28" w:type="dxa"/>
            </w:tcMar>
            <w:vAlign w:val="center"/>
          </w:tcPr>
          <w:p>
            <w:pPr>
              <w:widowControl/>
              <w:jc w:val="left"/>
              <w:rPr>
                <w:color w:val="000000"/>
                <w:kern w:val="0"/>
                <w:sz w:val="21"/>
                <w:szCs w:val="21"/>
              </w:rPr>
            </w:pPr>
            <w:r>
              <w:rPr>
                <w:color w:val="000000"/>
                <w:kern w:val="0"/>
                <w:sz w:val="21"/>
                <w:szCs w:val="21"/>
              </w:rPr>
              <w:t xml:space="preserve">粉质稳定性(稳定时间)/min </w:t>
            </w:r>
            <w:r>
              <w:rPr>
                <w:rFonts w:hint="eastAsia"/>
                <w:color w:val="000000"/>
                <w:kern w:val="0"/>
                <w:sz w:val="21"/>
                <w:szCs w:val="21"/>
              </w:rPr>
              <w:t xml:space="preserve"> </w:t>
            </w:r>
            <w:r>
              <w:rPr>
                <w:rFonts w:hint="eastAsia"/>
                <w:sz w:val="24"/>
                <w:szCs w:val="24"/>
              </w:rPr>
              <w:t>≥</w:t>
            </w:r>
          </w:p>
        </w:tc>
        <w:tc>
          <w:tcPr>
            <w:tcW w:w="97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jc w:val="center"/>
              <w:rPr>
                <w:color w:val="000000"/>
                <w:kern w:val="0"/>
                <w:sz w:val="21"/>
                <w:szCs w:val="21"/>
              </w:rPr>
            </w:pPr>
            <w:r>
              <w:rPr>
                <w:color w:val="000000"/>
                <w:kern w:val="0"/>
                <w:sz w:val="21"/>
                <w:szCs w:val="21"/>
              </w:rPr>
              <w:t>9.0</w:t>
            </w:r>
          </w:p>
        </w:tc>
        <w:tc>
          <w:tcPr>
            <w:tcW w:w="971" w:type="dxa"/>
            <w:tcBorders>
              <w:top w:val="nil"/>
              <w:left w:val="single" w:color="auto" w:sz="4" w:space="0"/>
              <w:bottom w:val="single" w:color="000000" w:sz="4" w:space="0"/>
              <w:right w:val="single" w:color="auto" w:sz="4" w:space="0"/>
            </w:tcBorders>
            <w:tcMar>
              <w:left w:w="28" w:type="dxa"/>
              <w:right w:w="28" w:type="dxa"/>
            </w:tcMar>
            <w:vAlign w:val="center"/>
          </w:tcPr>
          <w:p>
            <w:pPr>
              <w:widowControl/>
              <w:jc w:val="center"/>
              <w:rPr>
                <w:color w:val="000000"/>
                <w:kern w:val="0"/>
                <w:sz w:val="21"/>
                <w:szCs w:val="21"/>
              </w:rPr>
            </w:pPr>
            <w:r>
              <w:rPr>
                <w:color w:val="000000"/>
                <w:kern w:val="0"/>
                <w:sz w:val="21"/>
                <w:szCs w:val="21"/>
              </w:rPr>
              <w:t>5.0</w:t>
            </w:r>
          </w:p>
        </w:tc>
        <w:tc>
          <w:tcPr>
            <w:tcW w:w="900" w:type="dxa"/>
            <w:tcBorders>
              <w:top w:val="nil"/>
              <w:left w:val="single" w:color="auto" w:sz="4" w:space="0"/>
              <w:bottom w:val="single" w:color="000000" w:sz="4" w:space="0"/>
              <w:right w:val="single" w:color="auto" w:sz="4" w:space="0"/>
            </w:tcBorders>
            <w:tcMar>
              <w:left w:w="28" w:type="dxa"/>
              <w:right w:w="28" w:type="dxa"/>
            </w:tcMar>
            <w:vAlign w:val="center"/>
          </w:tcPr>
          <w:p>
            <w:pPr>
              <w:widowControl/>
              <w:jc w:val="center"/>
              <w:rPr>
                <w:color w:val="000000"/>
                <w:kern w:val="0"/>
                <w:sz w:val="21"/>
                <w:szCs w:val="21"/>
              </w:rPr>
            </w:pPr>
            <w:r>
              <w:rPr>
                <w:color w:val="000000"/>
                <w:kern w:val="0"/>
                <w:sz w:val="21"/>
                <w:szCs w:val="21"/>
              </w:rPr>
              <w:t>4.0</w:t>
            </w:r>
          </w:p>
        </w:tc>
        <w:tc>
          <w:tcPr>
            <w:tcW w:w="1043" w:type="dxa"/>
            <w:tcBorders>
              <w:top w:val="nil"/>
              <w:left w:val="single" w:color="auto" w:sz="4" w:space="0"/>
              <w:bottom w:val="single" w:color="000000" w:sz="4" w:space="0"/>
              <w:right w:val="single" w:color="auto" w:sz="4" w:space="0"/>
            </w:tcBorders>
            <w:tcMar>
              <w:left w:w="28" w:type="dxa"/>
              <w:right w:w="28" w:type="dxa"/>
            </w:tcMar>
            <w:vAlign w:val="center"/>
          </w:tcPr>
          <w:p>
            <w:pPr>
              <w:widowControl/>
              <w:jc w:val="center"/>
              <w:rPr>
                <w:color w:val="000000"/>
                <w:kern w:val="0"/>
                <w:sz w:val="21"/>
                <w:szCs w:val="21"/>
              </w:rPr>
            </w:pPr>
            <w:r>
              <w:rPr>
                <w:color w:val="000000"/>
                <w:kern w:val="0"/>
                <w:sz w:val="21"/>
                <w:szCs w:val="21"/>
              </w:rPr>
              <w:t>3.0</w:t>
            </w:r>
          </w:p>
        </w:tc>
        <w:tc>
          <w:tcPr>
            <w:tcW w:w="972" w:type="dxa"/>
            <w:tcBorders>
              <w:top w:val="nil"/>
              <w:left w:val="single" w:color="auto" w:sz="4" w:space="0"/>
              <w:bottom w:val="single" w:color="000000" w:sz="4" w:space="0"/>
              <w:right w:val="single" w:color="auto" w:sz="4" w:space="0"/>
            </w:tcBorders>
            <w:tcMar>
              <w:left w:w="28" w:type="dxa"/>
              <w:right w:w="28" w:type="dxa"/>
            </w:tcMar>
            <w:vAlign w:val="center"/>
          </w:tcPr>
          <w:p>
            <w:pPr>
              <w:widowControl/>
              <w:jc w:val="center"/>
              <w:rPr>
                <w:color w:val="000000"/>
                <w:kern w:val="0"/>
                <w:sz w:val="21"/>
                <w:szCs w:val="21"/>
              </w:rPr>
            </w:pPr>
            <w:r>
              <w:rPr>
                <w:color w:val="000000"/>
                <w:kern w:val="0"/>
                <w:sz w:val="21"/>
                <w:szCs w:val="21"/>
              </w:rPr>
              <w:t>-</w:t>
            </w:r>
          </w:p>
        </w:tc>
        <w:tc>
          <w:tcPr>
            <w:tcW w:w="1050" w:type="dxa"/>
            <w:tcBorders>
              <w:top w:val="nil"/>
              <w:left w:val="single" w:color="auto" w:sz="4" w:space="0"/>
              <w:bottom w:val="single" w:color="000000" w:sz="4" w:space="0"/>
              <w:right w:val="single" w:color="auto" w:sz="4" w:space="0"/>
            </w:tcBorders>
            <w:tcMar>
              <w:left w:w="28" w:type="dxa"/>
              <w:right w:w="28" w:type="dxa"/>
            </w:tcMar>
            <w:vAlign w:val="center"/>
          </w:tcPr>
          <w:p>
            <w:pPr>
              <w:widowControl/>
              <w:jc w:val="center"/>
              <w:rPr>
                <w:color w:val="000000"/>
                <w:kern w:val="0"/>
                <w:sz w:val="21"/>
                <w:szCs w:val="21"/>
              </w:rPr>
            </w:pPr>
            <w:r>
              <w:rPr>
                <w:color w:val="000000"/>
                <w:kern w:val="0"/>
                <w:sz w:val="21"/>
                <w:szCs w:val="21"/>
              </w:rPr>
              <w:t>-</w:t>
            </w:r>
          </w:p>
        </w:tc>
        <w:tc>
          <w:tcPr>
            <w:tcW w:w="893" w:type="dxa"/>
            <w:tcBorders>
              <w:top w:val="nil"/>
              <w:left w:val="single" w:color="auto" w:sz="4" w:space="0"/>
              <w:bottom w:val="single" w:color="000000" w:sz="4" w:space="0"/>
              <w:right w:val="single" w:color="auto" w:sz="4" w:space="0"/>
            </w:tcBorders>
            <w:tcMar>
              <w:left w:w="28" w:type="dxa"/>
              <w:right w:w="28" w:type="dxa"/>
            </w:tcMar>
            <w:vAlign w:val="center"/>
          </w:tcPr>
          <w:p>
            <w:pPr>
              <w:widowControl/>
              <w:jc w:val="center"/>
              <w:rPr>
                <w:color w:val="000000"/>
                <w:kern w:val="0"/>
                <w:sz w:val="21"/>
                <w:szCs w:val="21"/>
              </w:rPr>
            </w:pPr>
            <w:r>
              <w:rPr>
                <w:color w:val="000000"/>
                <w:kern w:val="0"/>
                <w:sz w:val="21"/>
                <w:szCs w:val="21"/>
              </w:rPr>
              <w:t>-</w:t>
            </w:r>
          </w:p>
        </w:tc>
      </w:tr>
      <w:tr>
        <w:trPr>
          <w:trHeight w:val="360" w:hRule="atLeast"/>
          <w:jc w:val="center"/>
        </w:trPr>
        <w:tc>
          <w:tcPr>
            <w:tcW w:w="2923" w:type="dxa"/>
            <w:tcBorders>
              <w:top w:val="nil"/>
              <w:left w:val="single" w:color="000000" w:sz="4" w:space="0"/>
              <w:bottom w:val="single" w:color="000000" w:sz="4" w:space="0"/>
              <w:right w:val="single" w:color="auto" w:sz="4" w:space="0"/>
            </w:tcBorders>
            <w:shd w:val="clear" w:color="auto" w:fill="auto"/>
            <w:noWrap/>
            <w:tcMar>
              <w:left w:w="28" w:type="dxa"/>
              <w:right w:w="28" w:type="dxa"/>
            </w:tcMar>
            <w:vAlign w:val="center"/>
          </w:tcPr>
          <w:p>
            <w:pPr>
              <w:widowControl/>
              <w:jc w:val="left"/>
              <w:rPr>
                <w:color w:val="000000"/>
                <w:kern w:val="0"/>
                <w:sz w:val="21"/>
                <w:szCs w:val="21"/>
              </w:rPr>
            </w:pPr>
            <w:r>
              <w:rPr>
                <w:color w:val="000000"/>
                <w:kern w:val="0"/>
                <w:sz w:val="21"/>
                <w:szCs w:val="21"/>
              </w:rPr>
              <w:t xml:space="preserve">灰分含量(以干基计)/%     </w:t>
            </w:r>
            <w:r>
              <w:rPr>
                <w:rFonts w:hint="eastAsia"/>
                <w:sz w:val="24"/>
                <w:szCs w:val="24"/>
              </w:rPr>
              <w:t>≤</w:t>
            </w:r>
          </w:p>
        </w:tc>
        <w:tc>
          <w:tcPr>
            <w:tcW w:w="97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jc w:val="center"/>
              <w:rPr>
                <w:color w:val="000000"/>
                <w:kern w:val="0"/>
                <w:sz w:val="21"/>
                <w:szCs w:val="21"/>
              </w:rPr>
            </w:pPr>
            <w:r>
              <w:rPr>
                <w:color w:val="000000"/>
                <w:kern w:val="0"/>
                <w:sz w:val="21"/>
                <w:szCs w:val="21"/>
              </w:rPr>
              <w:t>0.70</w:t>
            </w:r>
          </w:p>
        </w:tc>
        <w:tc>
          <w:tcPr>
            <w:tcW w:w="971" w:type="dxa"/>
            <w:tcBorders>
              <w:top w:val="single" w:color="000000" w:sz="4" w:space="0"/>
              <w:left w:val="single" w:color="auto" w:sz="4" w:space="0"/>
              <w:bottom w:val="single" w:color="000000" w:sz="4" w:space="0"/>
              <w:right w:val="single" w:color="auto" w:sz="4" w:space="0"/>
            </w:tcBorders>
            <w:tcMar>
              <w:left w:w="28" w:type="dxa"/>
              <w:right w:w="28" w:type="dxa"/>
            </w:tcMar>
            <w:vAlign w:val="center"/>
          </w:tcPr>
          <w:p>
            <w:pPr>
              <w:widowControl/>
              <w:jc w:val="center"/>
              <w:rPr>
                <w:color w:val="000000"/>
                <w:kern w:val="0"/>
                <w:sz w:val="21"/>
                <w:szCs w:val="21"/>
              </w:rPr>
            </w:pPr>
            <w:r>
              <w:rPr>
                <w:color w:val="000000"/>
                <w:kern w:val="0"/>
                <w:sz w:val="21"/>
                <w:szCs w:val="21"/>
              </w:rPr>
              <w:t>0.55</w:t>
            </w:r>
          </w:p>
        </w:tc>
        <w:tc>
          <w:tcPr>
            <w:tcW w:w="900" w:type="dxa"/>
            <w:tcBorders>
              <w:top w:val="single" w:color="000000" w:sz="4" w:space="0"/>
              <w:left w:val="single" w:color="auto" w:sz="4" w:space="0"/>
              <w:bottom w:val="single" w:color="000000" w:sz="4" w:space="0"/>
              <w:right w:val="single" w:color="auto" w:sz="4" w:space="0"/>
            </w:tcBorders>
            <w:tcMar>
              <w:left w:w="28" w:type="dxa"/>
              <w:right w:w="28" w:type="dxa"/>
            </w:tcMar>
            <w:vAlign w:val="center"/>
          </w:tcPr>
          <w:p>
            <w:pPr>
              <w:widowControl/>
              <w:jc w:val="center"/>
              <w:rPr>
                <w:color w:val="000000"/>
                <w:kern w:val="0"/>
                <w:sz w:val="21"/>
                <w:szCs w:val="21"/>
              </w:rPr>
            </w:pPr>
            <w:r>
              <w:rPr>
                <w:color w:val="000000"/>
                <w:kern w:val="0"/>
                <w:sz w:val="21"/>
                <w:szCs w:val="21"/>
              </w:rPr>
              <w:t>0.55</w:t>
            </w:r>
          </w:p>
        </w:tc>
        <w:tc>
          <w:tcPr>
            <w:tcW w:w="1043" w:type="dxa"/>
            <w:tcBorders>
              <w:top w:val="single" w:color="000000" w:sz="4" w:space="0"/>
              <w:left w:val="single" w:color="auto" w:sz="4" w:space="0"/>
              <w:bottom w:val="single" w:color="000000" w:sz="4" w:space="0"/>
              <w:right w:val="single" w:color="auto" w:sz="4" w:space="0"/>
            </w:tcBorders>
            <w:tcMar>
              <w:left w:w="28" w:type="dxa"/>
              <w:right w:w="28" w:type="dxa"/>
            </w:tcMar>
            <w:vAlign w:val="center"/>
          </w:tcPr>
          <w:p>
            <w:pPr>
              <w:widowControl/>
              <w:jc w:val="center"/>
              <w:rPr>
                <w:color w:val="000000"/>
                <w:kern w:val="0"/>
                <w:sz w:val="21"/>
                <w:szCs w:val="21"/>
              </w:rPr>
            </w:pPr>
            <w:r>
              <w:rPr>
                <w:color w:val="000000"/>
                <w:kern w:val="0"/>
                <w:sz w:val="21"/>
                <w:szCs w:val="21"/>
              </w:rPr>
              <w:t>0.65</w:t>
            </w:r>
          </w:p>
        </w:tc>
        <w:tc>
          <w:tcPr>
            <w:tcW w:w="972" w:type="dxa"/>
            <w:tcBorders>
              <w:top w:val="single" w:color="000000" w:sz="4" w:space="0"/>
              <w:left w:val="single" w:color="auto" w:sz="4" w:space="0"/>
              <w:bottom w:val="single" w:color="000000" w:sz="4" w:space="0"/>
              <w:right w:val="single" w:color="auto" w:sz="4" w:space="0"/>
            </w:tcBorders>
            <w:tcMar>
              <w:left w:w="28" w:type="dxa"/>
              <w:right w:w="28" w:type="dxa"/>
            </w:tcMar>
            <w:vAlign w:val="center"/>
          </w:tcPr>
          <w:p>
            <w:pPr>
              <w:widowControl/>
              <w:jc w:val="center"/>
              <w:rPr>
                <w:color w:val="000000"/>
                <w:kern w:val="0"/>
                <w:sz w:val="21"/>
                <w:szCs w:val="21"/>
              </w:rPr>
            </w:pPr>
            <w:r>
              <w:rPr>
                <w:color w:val="000000"/>
                <w:kern w:val="0"/>
                <w:sz w:val="21"/>
                <w:szCs w:val="21"/>
              </w:rPr>
              <w:t>0.53</w:t>
            </w:r>
          </w:p>
        </w:tc>
        <w:tc>
          <w:tcPr>
            <w:tcW w:w="1050" w:type="dxa"/>
            <w:tcBorders>
              <w:top w:val="single" w:color="000000" w:sz="4" w:space="0"/>
              <w:left w:val="single" w:color="auto" w:sz="4" w:space="0"/>
              <w:bottom w:val="single" w:color="000000" w:sz="4" w:space="0"/>
              <w:right w:val="single" w:color="auto" w:sz="4" w:space="0"/>
            </w:tcBorders>
            <w:tcMar>
              <w:left w:w="28" w:type="dxa"/>
              <w:right w:w="28" w:type="dxa"/>
            </w:tcMar>
            <w:vAlign w:val="center"/>
          </w:tcPr>
          <w:p>
            <w:pPr>
              <w:widowControl/>
              <w:jc w:val="center"/>
              <w:rPr>
                <w:color w:val="000000"/>
                <w:kern w:val="0"/>
                <w:sz w:val="21"/>
                <w:szCs w:val="21"/>
              </w:rPr>
            </w:pPr>
            <w:r>
              <w:rPr>
                <w:color w:val="000000"/>
                <w:kern w:val="0"/>
                <w:sz w:val="21"/>
                <w:szCs w:val="21"/>
              </w:rPr>
              <w:t>0.65</w:t>
            </w:r>
          </w:p>
        </w:tc>
        <w:tc>
          <w:tcPr>
            <w:tcW w:w="893" w:type="dxa"/>
            <w:tcBorders>
              <w:top w:val="single" w:color="000000" w:sz="4" w:space="0"/>
              <w:left w:val="single" w:color="auto" w:sz="4" w:space="0"/>
              <w:bottom w:val="single" w:color="000000" w:sz="4" w:space="0"/>
              <w:right w:val="single" w:color="auto" w:sz="4" w:space="0"/>
            </w:tcBorders>
            <w:tcMar>
              <w:left w:w="28" w:type="dxa"/>
              <w:right w:w="28" w:type="dxa"/>
            </w:tcMar>
            <w:vAlign w:val="center"/>
          </w:tcPr>
          <w:p>
            <w:pPr>
              <w:widowControl/>
              <w:jc w:val="center"/>
              <w:rPr>
                <w:color w:val="000000"/>
                <w:kern w:val="0"/>
                <w:sz w:val="21"/>
                <w:szCs w:val="21"/>
              </w:rPr>
            </w:pPr>
            <w:r>
              <w:rPr>
                <w:color w:val="000000"/>
                <w:kern w:val="0"/>
                <w:sz w:val="21"/>
                <w:szCs w:val="21"/>
              </w:rPr>
              <w:t>1.35</w:t>
            </w:r>
          </w:p>
        </w:tc>
      </w:tr>
      <w:tr>
        <w:trPr>
          <w:trHeight w:val="360" w:hRule="atLeast"/>
          <w:jc w:val="center"/>
        </w:trPr>
        <w:tc>
          <w:tcPr>
            <w:tcW w:w="2923" w:type="dxa"/>
            <w:tcBorders>
              <w:top w:val="nil"/>
              <w:left w:val="single" w:color="000000" w:sz="4" w:space="0"/>
              <w:bottom w:val="single" w:color="000000" w:sz="4" w:space="0"/>
              <w:right w:val="single" w:color="auto" w:sz="4" w:space="0"/>
            </w:tcBorders>
            <w:shd w:val="clear" w:color="auto" w:fill="auto"/>
            <w:noWrap/>
            <w:tcMar>
              <w:left w:w="28" w:type="dxa"/>
              <w:right w:w="28" w:type="dxa"/>
            </w:tcMar>
            <w:vAlign w:val="center"/>
          </w:tcPr>
          <w:p>
            <w:pPr>
              <w:widowControl/>
              <w:jc w:val="left"/>
              <w:rPr>
                <w:color w:val="000000"/>
                <w:kern w:val="0"/>
                <w:sz w:val="21"/>
                <w:szCs w:val="21"/>
              </w:rPr>
            </w:pPr>
            <w:r>
              <w:rPr>
                <w:color w:val="000000"/>
                <w:kern w:val="0"/>
                <w:sz w:val="21"/>
                <w:szCs w:val="21"/>
              </w:rPr>
              <w:t xml:space="preserve">降落数值/s               </w:t>
            </w:r>
            <w:r>
              <w:rPr>
                <w:rFonts w:hint="eastAsia"/>
                <w:sz w:val="24"/>
                <w:szCs w:val="24"/>
              </w:rPr>
              <w:t>≥</w:t>
            </w:r>
          </w:p>
        </w:tc>
        <w:tc>
          <w:tcPr>
            <w:tcW w:w="6800" w:type="dxa"/>
            <w:gridSpan w:val="7"/>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jc w:val="center"/>
              <w:rPr>
                <w:color w:val="000000"/>
                <w:kern w:val="0"/>
                <w:sz w:val="21"/>
                <w:szCs w:val="21"/>
              </w:rPr>
            </w:pPr>
            <w:r>
              <w:rPr>
                <w:color w:val="000000"/>
                <w:kern w:val="0"/>
                <w:sz w:val="21"/>
                <w:szCs w:val="21"/>
              </w:rPr>
              <w:t>300</w:t>
            </w:r>
          </w:p>
        </w:tc>
      </w:tr>
      <w:tr>
        <w:trPr>
          <w:trHeight w:val="360" w:hRule="atLeast"/>
          <w:jc w:val="center"/>
        </w:trPr>
        <w:tc>
          <w:tcPr>
            <w:tcW w:w="2923" w:type="dxa"/>
            <w:tcBorders>
              <w:top w:val="nil"/>
              <w:left w:val="single" w:color="000000" w:sz="4" w:space="0"/>
              <w:bottom w:val="single" w:color="000000" w:sz="4" w:space="0"/>
              <w:right w:val="single" w:color="auto" w:sz="4" w:space="0"/>
            </w:tcBorders>
            <w:shd w:val="clear" w:color="auto" w:fill="auto"/>
            <w:noWrap/>
            <w:tcMar>
              <w:left w:w="28" w:type="dxa"/>
              <w:right w:w="28" w:type="dxa"/>
            </w:tcMar>
            <w:vAlign w:val="center"/>
          </w:tcPr>
          <w:p>
            <w:pPr>
              <w:widowControl/>
              <w:jc w:val="left"/>
              <w:rPr>
                <w:color w:val="000000"/>
                <w:kern w:val="0"/>
                <w:sz w:val="21"/>
                <w:szCs w:val="21"/>
              </w:rPr>
            </w:pPr>
            <w:r>
              <w:rPr>
                <w:color w:val="000000"/>
                <w:kern w:val="0"/>
                <w:sz w:val="21"/>
                <w:szCs w:val="21"/>
              </w:rPr>
              <w:t xml:space="preserve">脂肪酸值(湿基，KOH)/ (mg/100g)              </w:t>
            </w:r>
            <w:r>
              <w:rPr>
                <w:rFonts w:hint="eastAsia"/>
                <w:color w:val="000000"/>
                <w:kern w:val="0"/>
                <w:sz w:val="21"/>
                <w:szCs w:val="21"/>
              </w:rPr>
              <w:t xml:space="preserve"> </w:t>
            </w:r>
            <w:r>
              <w:rPr>
                <w:color w:val="000000"/>
                <w:kern w:val="0"/>
                <w:sz w:val="21"/>
                <w:szCs w:val="21"/>
              </w:rPr>
              <w:t xml:space="preserve"> </w:t>
            </w:r>
            <w:r>
              <w:rPr>
                <w:rFonts w:hint="eastAsia"/>
                <w:sz w:val="24"/>
                <w:szCs w:val="24"/>
              </w:rPr>
              <w:t>≤</w:t>
            </w:r>
          </w:p>
        </w:tc>
        <w:tc>
          <w:tcPr>
            <w:tcW w:w="6800" w:type="dxa"/>
            <w:gridSpan w:val="7"/>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jc w:val="center"/>
              <w:rPr>
                <w:color w:val="000000"/>
                <w:kern w:val="0"/>
                <w:sz w:val="21"/>
                <w:szCs w:val="21"/>
              </w:rPr>
            </w:pPr>
            <w:r>
              <w:rPr>
                <w:color w:val="000000"/>
                <w:kern w:val="0"/>
                <w:sz w:val="21"/>
                <w:szCs w:val="21"/>
              </w:rPr>
              <w:t>50</w:t>
            </w:r>
          </w:p>
        </w:tc>
      </w:tr>
      <w:tr>
        <w:trPr>
          <w:trHeight w:val="360" w:hRule="atLeast"/>
          <w:jc w:val="center"/>
        </w:trPr>
        <w:tc>
          <w:tcPr>
            <w:tcW w:w="2923" w:type="dxa"/>
            <w:tcBorders>
              <w:top w:val="nil"/>
              <w:left w:val="single" w:color="000000" w:sz="4" w:space="0"/>
              <w:bottom w:val="single" w:color="000000" w:sz="4" w:space="0"/>
              <w:right w:val="single" w:color="auto" w:sz="4" w:space="0"/>
            </w:tcBorders>
            <w:shd w:val="clear" w:color="auto" w:fill="auto"/>
            <w:noWrap/>
            <w:tcMar>
              <w:left w:w="28" w:type="dxa"/>
              <w:right w:w="28" w:type="dxa"/>
            </w:tcMar>
            <w:vAlign w:val="center"/>
          </w:tcPr>
          <w:p>
            <w:pPr>
              <w:widowControl/>
              <w:jc w:val="left"/>
              <w:rPr>
                <w:color w:val="000000"/>
                <w:kern w:val="0"/>
                <w:sz w:val="21"/>
                <w:szCs w:val="21"/>
              </w:rPr>
            </w:pPr>
            <w:r>
              <w:rPr>
                <w:color w:val="000000"/>
                <w:kern w:val="0"/>
                <w:sz w:val="21"/>
                <w:szCs w:val="21"/>
              </w:rPr>
              <w:t xml:space="preserve">水分含量/%              </w:t>
            </w:r>
            <w:r>
              <w:rPr>
                <w:rFonts w:hint="eastAsia"/>
                <w:sz w:val="24"/>
                <w:szCs w:val="24"/>
              </w:rPr>
              <w:t>≤</w:t>
            </w:r>
          </w:p>
        </w:tc>
        <w:tc>
          <w:tcPr>
            <w:tcW w:w="6800" w:type="dxa"/>
            <w:gridSpan w:val="7"/>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jc w:val="center"/>
              <w:rPr>
                <w:sz w:val="21"/>
                <w:szCs w:val="21"/>
              </w:rPr>
            </w:pPr>
            <w:r>
              <w:rPr>
                <w:color w:val="000000"/>
                <w:kern w:val="0"/>
                <w:sz w:val="21"/>
                <w:szCs w:val="21"/>
              </w:rPr>
              <w:t>14.5</w:t>
            </w:r>
          </w:p>
        </w:tc>
      </w:tr>
      <w:tr>
        <w:trPr>
          <w:trHeight w:val="360" w:hRule="atLeast"/>
          <w:jc w:val="center"/>
        </w:trPr>
        <w:tc>
          <w:tcPr>
            <w:tcW w:w="2923" w:type="dxa"/>
            <w:tcBorders>
              <w:top w:val="nil"/>
              <w:left w:val="single" w:color="000000" w:sz="4" w:space="0"/>
              <w:bottom w:val="single" w:color="000000" w:sz="4" w:space="0"/>
              <w:right w:val="single" w:color="auto" w:sz="4" w:space="0"/>
            </w:tcBorders>
            <w:shd w:val="clear" w:color="auto" w:fill="auto"/>
            <w:noWrap/>
            <w:tcMar>
              <w:left w:w="28" w:type="dxa"/>
              <w:right w:w="28" w:type="dxa"/>
            </w:tcMar>
            <w:vAlign w:val="center"/>
          </w:tcPr>
          <w:p>
            <w:pPr>
              <w:widowControl/>
              <w:jc w:val="left"/>
              <w:rPr>
                <w:color w:val="000000"/>
                <w:kern w:val="0"/>
                <w:sz w:val="21"/>
                <w:szCs w:val="21"/>
              </w:rPr>
            </w:pPr>
            <w:r>
              <w:rPr>
                <w:color w:val="000000"/>
                <w:kern w:val="0"/>
                <w:sz w:val="21"/>
                <w:szCs w:val="21"/>
              </w:rPr>
              <w:t xml:space="preserve">含砂量/%                </w:t>
            </w:r>
            <w:r>
              <w:rPr>
                <w:rFonts w:hint="eastAsia"/>
                <w:sz w:val="24"/>
                <w:szCs w:val="24"/>
              </w:rPr>
              <w:t>≤</w:t>
            </w:r>
          </w:p>
        </w:tc>
        <w:tc>
          <w:tcPr>
            <w:tcW w:w="6800" w:type="dxa"/>
            <w:gridSpan w:val="7"/>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jc w:val="center"/>
              <w:rPr>
                <w:color w:val="000000"/>
                <w:kern w:val="0"/>
                <w:sz w:val="21"/>
                <w:szCs w:val="21"/>
              </w:rPr>
            </w:pPr>
            <w:r>
              <w:rPr>
                <w:color w:val="000000"/>
                <w:kern w:val="0"/>
                <w:sz w:val="21"/>
                <w:szCs w:val="21"/>
              </w:rPr>
              <w:t>0.02</w:t>
            </w:r>
          </w:p>
        </w:tc>
      </w:tr>
      <w:tr>
        <w:trPr>
          <w:trHeight w:val="360" w:hRule="atLeast"/>
          <w:jc w:val="center"/>
        </w:trPr>
        <w:tc>
          <w:tcPr>
            <w:tcW w:w="2923" w:type="dxa"/>
            <w:tcBorders>
              <w:top w:val="nil"/>
              <w:left w:val="single" w:color="000000" w:sz="4" w:space="0"/>
              <w:bottom w:val="single" w:color="000000" w:sz="4" w:space="0"/>
              <w:right w:val="single" w:color="auto" w:sz="4" w:space="0"/>
            </w:tcBorders>
            <w:shd w:val="clear" w:color="auto" w:fill="auto"/>
            <w:noWrap/>
            <w:tcMar>
              <w:left w:w="28" w:type="dxa"/>
              <w:right w:w="28" w:type="dxa"/>
            </w:tcMar>
            <w:vAlign w:val="center"/>
          </w:tcPr>
          <w:p>
            <w:pPr>
              <w:widowControl/>
              <w:jc w:val="left"/>
              <w:rPr>
                <w:color w:val="000000"/>
                <w:kern w:val="0"/>
                <w:sz w:val="21"/>
                <w:szCs w:val="21"/>
              </w:rPr>
            </w:pPr>
            <w:r>
              <w:rPr>
                <w:color w:val="000000"/>
                <w:kern w:val="0"/>
                <w:sz w:val="21"/>
                <w:szCs w:val="21"/>
              </w:rPr>
              <w:t xml:space="preserve">磁性金属物含量/(g/kg)   </w:t>
            </w:r>
            <w:r>
              <w:rPr>
                <w:rFonts w:hint="eastAsia"/>
                <w:color w:val="000000"/>
                <w:kern w:val="0"/>
                <w:sz w:val="21"/>
                <w:szCs w:val="21"/>
              </w:rPr>
              <w:t xml:space="preserve"> </w:t>
            </w:r>
            <w:r>
              <w:rPr>
                <w:color w:val="000000"/>
                <w:kern w:val="0"/>
                <w:sz w:val="21"/>
                <w:szCs w:val="21"/>
              </w:rPr>
              <w:t xml:space="preserve"> </w:t>
            </w:r>
            <w:r>
              <w:rPr>
                <w:rFonts w:hint="eastAsia"/>
                <w:sz w:val="24"/>
                <w:szCs w:val="24"/>
              </w:rPr>
              <w:t>≤</w:t>
            </w:r>
          </w:p>
        </w:tc>
        <w:tc>
          <w:tcPr>
            <w:tcW w:w="6800" w:type="dxa"/>
            <w:gridSpan w:val="7"/>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jc w:val="center"/>
              <w:rPr>
                <w:color w:val="000000"/>
                <w:kern w:val="0"/>
                <w:sz w:val="21"/>
                <w:szCs w:val="21"/>
              </w:rPr>
            </w:pPr>
            <w:r>
              <w:rPr>
                <w:color w:val="000000"/>
                <w:kern w:val="0"/>
                <w:sz w:val="21"/>
                <w:szCs w:val="21"/>
              </w:rPr>
              <w:t>0.003</w:t>
            </w:r>
          </w:p>
        </w:tc>
      </w:tr>
    </w:tbl>
    <w:p>
      <w:pPr>
        <w:spacing w:before="156" w:beforeLines="50" w:line="360" w:lineRule="auto"/>
        <w:ind w:firstLine="640" w:firstLineChars="200"/>
        <w:rPr>
          <w:bCs/>
          <w:szCs w:val="32"/>
        </w:rPr>
      </w:pPr>
      <w:r>
        <w:rPr>
          <w:bCs/>
          <w:szCs w:val="32"/>
        </w:rPr>
        <w:t>3.5.</w:t>
      </w:r>
      <w:r>
        <w:rPr>
          <w:rFonts w:hint="eastAsia"/>
          <w:bCs/>
          <w:szCs w:val="32"/>
        </w:rPr>
        <w:t>3</w:t>
      </w:r>
      <w:r>
        <w:rPr>
          <w:bCs/>
          <w:szCs w:val="32"/>
        </w:rPr>
        <w:t xml:space="preserve"> 污染物指标要求</w:t>
      </w:r>
    </w:p>
    <w:p>
      <w:pPr>
        <w:spacing w:line="360" w:lineRule="auto"/>
        <w:ind w:firstLine="640" w:firstLineChars="200"/>
        <w:rPr>
          <w:szCs w:val="32"/>
        </w:rPr>
      </w:pPr>
      <w:r>
        <w:rPr>
          <w:rFonts w:hint="eastAsia"/>
          <w:szCs w:val="32"/>
        </w:rPr>
        <w:t>小麦粉</w:t>
      </w:r>
      <w:r>
        <w:rPr>
          <w:szCs w:val="32"/>
        </w:rPr>
        <w:t>污染物指标应符合表</w:t>
      </w:r>
      <w:r>
        <w:rPr>
          <w:rFonts w:hint="eastAsia"/>
          <w:szCs w:val="32"/>
        </w:rPr>
        <w:t>5</w:t>
      </w:r>
      <w:r>
        <w:rPr>
          <w:szCs w:val="32"/>
        </w:rPr>
        <w:t>要求。</w:t>
      </w:r>
    </w:p>
    <w:p>
      <w:pPr>
        <w:spacing w:line="360" w:lineRule="auto"/>
        <w:jc w:val="center"/>
        <w:rPr>
          <w:rFonts w:ascii="黑体" w:hAnsi="黑体" w:eastAsia="黑体"/>
          <w:sz w:val="28"/>
          <w:szCs w:val="28"/>
        </w:rPr>
      </w:pPr>
      <w:r>
        <w:rPr>
          <w:rFonts w:ascii="黑体" w:hAnsi="黑体" w:eastAsia="黑体"/>
          <w:sz w:val="28"/>
          <w:szCs w:val="28"/>
        </w:rPr>
        <w:t>表</w:t>
      </w:r>
      <w:r>
        <w:rPr>
          <w:rFonts w:hint="eastAsia" w:ascii="黑体" w:hAnsi="黑体" w:eastAsia="黑体"/>
          <w:sz w:val="28"/>
          <w:szCs w:val="28"/>
        </w:rPr>
        <w:t>5</w:t>
      </w:r>
      <w:r>
        <w:rPr>
          <w:rFonts w:ascii="黑体" w:hAnsi="黑体" w:eastAsia="黑体"/>
          <w:sz w:val="28"/>
          <w:szCs w:val="28"/>
        </w:rPr>
        <w:t xml:space="preserve"> </w:t>
      </w:r>
      <w:r>
        <w:rPr>
          <w:rFonts w:hint="eastAsia" w:ascii="黑体" w:hAnsi="黑体" w:eastAsia="黑体"/>
          <w:sz w:val="28"/>
          <w:szCs w:val="28"/>
        </w:rPr>
        <w:t>小麦粉</w:t>
      </w:r>
      <w:r>
        <w:rPr>
          <w:rFonts w:ascii="黑体" w:hAnsi="黑体" w:eastAsia="黑体"/>
          <w:sz w:val="28"/>
          <w:szCs w:val="28"/>
        </w:rPr>
        <w:t>染物指标要求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5"/>
        <w:gridCol w:w="4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315" w:type="dxa"/>
            <w:vAlign w:val="center"/>
          </w:tcPr>
          <w:p>
            <w:pPr>
              <w:adjustRightInd w:val="0"/>
              <w:snapToGrid w:val="0"/>
              <w:jc w:val="center"/>
              <w:rPr>
                <w:rFonts w:ascii="黑体" w:hAnsi="黑体" w:eastAsia="黑体"/>
                <w:sz w:val="24"/>
                <w:szCs w:val="28"/>
              </w:rPr>
            </w:pPr>
            <w:r>
              <w:rPr>
                <w:rFonts w:ascii="黑体" w:hAnsi="黑体" w:eastAsia="黑体"/>
                <w:sz w:val="24"/>
                <w:szCs w:val="28"/>
              </w:rPr>
              <w:t>项目</w:t>
            </w:r>
          </w:p>
        </w:tc>
        <w:tc>
          <w:tcPr>
            <w:tcW w:w="4315" w:type="dxa"/>
            <w:vAlign w:val="center"/>
          </w:tcPr>
          <w:p>
            <w:pPr>
              <w:adjustRightInd w:val="0"/>
              <w:snapToGrid w:val="0"/>
              <w:jc w:val="center"/>
              <w:rPr>
                <w:rFonts w:ascii="黑体" w:hAnsi="黑体" w:eastAsia="黑体"/>
                <w:sz w:val="24"/>
                <w:szCs w:val="28"/>
              </w:rPr>
            </w:pPr>
            <w:r>
              <w:rPr>
                <w:rFonts w:ascii="黑体" w:hAnsi="黑体" w:eastAsia="黑体"/>
                <w:sz w:val="24"/>
                <w:szCs w:val="2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315" w:type="dxa"/>
            <w:vAlign w:val="center"/>
          </w:tcPr>
          <w:p>
            <w:pPr>
              <w:adjustRightInd w:val="0"/>
              <w:snapToGrid w:val="0"/>
              <w:jc w:val="left"/>
              <w:rPr>
                <w:sz w:val="24"/>
                <w:szCs w:val="28"/>
              </w:rPr>
            </w:pPr>
            <w:r>
              <w:rPr>
                <w:rFonts w:hint="eastAsia"/>
                <w:sz w:val="24"/>
                <w:szCs w:val="28"/>
              </w:rPr>
              <w:t>铅（以Pb计）/(mg/kg)              ≤</w:t>
            </w:r>
          </w:p>
        </w:tc>
        <w:tc>
          <w:tcPr>
            <w:tcW w:w="4315" w:type="dxa"/>
            <w:vAlign w:val="center"/>
          </w:tcPr>
          <w:p>
            <w:pPr>
              <w:adjustRightInd w:val="0"/>
              <w:snapToGrid w:val="0"/>
              <w:jc w:val="center"/>
              <w:rPr>
                <w:sz w:val="24"/>
                <w:szCs w:val="28"/>
              </w:rPr>
            </w:pPr>
            <w:r>
              <w:rPr>
                <w:rFonts w:hint="eastAsia"/>
                <w:sz w:val="24"/>
                <w:szCs w:val="2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315" w:type="dxa"/>
            <w:vAlign w:val="center"/>
          </w:tcPr>
          <w:p>
            <w:pPr>
              <w:adjustRightInd w:val="0"/>
              <w:snapToGrid w:val="0"/>
              <w:jc w:val="left"/>
              <w:rPr>
                <w:sz w:val="24"/>
                <w:szCs w:val="28"/>
              </w:rPr>
            </w:pPr>
            <w:r>
              <w:rPr>
                <w:rFonts w:hint="eastAsia"/>
                <w:sz w:val="24"/>
                <w:szCs w:val="28"/>
              </w:rPr>
              <w:t>镉（以Cd计）/(mg/kg)            ≤</w:t>
            </w:r>
          </w:p>
        </w:tc>
        <w:tc>
          <w:tcPr>
            <w:tcW w:w="4315" w:type="dxa"/>
            <w:vAlign w:val="center"/>
          </w:tcPr>
          <w:p>
            <w:pPr>
              <w:adjustRightInd w:val="0"/>
              <w:snapToGrid w:val="0"/>
              <w:jc w:val="center"/>
              <w:rPr>
                <w:sz w:val="24"/>
                <w:szCs w:val="28"/>
              </w:rPr>
            </w:pPr>
            <w:r>
              <w:rPr>
                <w:rFonts w:hint="eastAsia"/>
                <w:sz w:val="24"/>
                <w:szCs w:val="2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315" w:type="dxa"/>
            <w:vAlign w:val="center"/>
          </w:tcPr>
          <w:p>
            <w:pPr>
              <w:adjustRightInd w:val="0"/>
              <w:snapToGrid w:val="0"/>
              <w:jc w:val="left"/>
              <w:rPr>
                <w:sz w:val="24"/>
                <w:szCs w:val="28"/>
              </w:rPr>
            </w:pPr>
            <w:r>
              <w:rPr>
                <w:rFonts w:hint="eastAsia"/>
                <w:sz w:val="24"/>
                <w:szCs w:val="28"/>
              </w:rPr>
              <w:t>总汞（以Hg计）/(mg/kg)           ≤</w:t>
            </w:r>
          </w:p>
        </w:tc>
        <w:tc>
          <w:tcPr>
            <w:tcW w:w="4315" w:type="dxa"/>
            <w:vAlign w:val="center"/>
          </w:tcPr>
          <w:p>
            <w:pPr>
              <w:adjustRightInd w:val="0"/>
              <w:snapToGrid w:val="0"/>
              <w:jc w:val="center"/>
              <w:rPr>
                <w:sz w:val="24"/>
                <w:szCs w:val="28"/>
              </w:rPr>
            </w:pPr>
            <w:r>
              <w:rPr>
                <w:rFonts w:hint="eastAsia"/>
                <w:sz w:val="24"/>
                <w:szCs w:val="28"/>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315" w:type="dxa"/>
            <w:vAlign w:val="center"/>
          </w:tcPr>
          <w:p>
            <w:pPr>
              <w:adjustRightInd w:val="0"/>
              <w:snapToGrid w:val="0"/>
              <w:jc w:val="left"/>
              <w:rPr>
                <w:sz w:val="24"/>
                <w:szCs w:val="28"/>
              </w:rPr>
            </w:pPr>
            <w:r>
              <w:rPr>
                <w:rFonts w:hint="eastAsia"/>
                <w:sz w:val="24"/>
                <w:szCs w:val="28"/>
              </w:rPr>
              <w:t>总砷（以As计）/(mg/kg)           ≤</w:t>
            </w:r>
          </w:p>
        </w:tc>
        <w:tc>
          <w:tcPr>
            <w:tcW w:w="4315" w:type="dxa"/>
            <w:vAlign w:val="center"/>
          </w:tcPr>
          <w:p>
            <w:pPr>
              <w:adjustRightInd w:val="0"/>
              <w:snapToGrid w:val="0"/>
              <w:jc w:val="center"/>
              <w:rPr>
                <w:sz w:val="24"/>
                <w:szCs w:val="28"/>
              </w:rPr>
            </w:pPr>
            <w:r>
              <w:rPr>
                <w:rFonts w:hint="eastAsia"/>
                <w:sz w:val="24"/>
                <w:szCs w:val="2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315" w:type="dxa"/>
            <w:vAlign w:val="center"/>
          </w:tcPr>
          <w:p>
            <w:pPr>
              <w:adjustRightInd w:val="0"/>
              <w:snapToGrid w:val="0"/>
              <w:jc w:val="left"/>
              <w:rPr>
                <w:sz w:val="24"/>
                <w:szCs w:val="28"/>
              </w:rPr>
            </w:pPr>
            <w:r>
              <w:rPr>
                <w:rFonts w:hint="eastAsia"/>
                <w:sz w:val="24"/>
                <w:szCs w:val="28"/>
              </w:rPr>
              <w:t>铬（以Cr计）/(mg/kg)            ≤</w:t>
            </w:r>
          </w:p>
        </w:tc>
        <w:tc>
          <w:tcPr>
            <w:tcW w:w="4315" w:type="dxa"/>
            <w:vAlign w:val="center"/>
          </w:tcPr>
          <w:p>
            <w:pPr>
              <w:adjustRightInd w:val="0"/>
              <w:snapToGrid w:val="0"/>
              <w:jc w:val="center"/>
              <w:rPr>
                <w:sz w:val="24"/>
                <w:szCs w:val="28"/>
              </w:rPr>
            </w:pPr>
            <w:r>
              <w:rPr>
                <w:rFonts w:hint="eastAsia"/>
                <w:sz w:val="24"/>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315" w:type="dxa"/>
            <w:vAlign w:val="center"/>
          </w:tcPr>
          <w:p>
            <w:pPr>
              <w:adjustRightInd w:val="0"/>
              <w:snapToGrid w:val="0"/>
              <w:jc w:val="left"/>
              <w:rPr>
                <w:sz w:val="24"/>
                <w:szCs w:val="28"/>
              </w:rPr>
            </w:pPr>
            <w:r>
              <w:rPr>
                <w:rFonts w:hint="eastAsia"/>
                <w:sz w:val="24"/>
                <w:szCs w:val="28"/>
              </w:rPr>
              <w:t>苯并[a]芘/(</w:t>
            </w:r>
            <w:r>
              <w:rPr>
                <w:rFonts w:hint="eastAsia" w:ascii="仿宋_GB2312"/>
                <w:sz w:val="24"/>
                <w:szCs w:val="28"/>
              </w:rPr>
              <w:t>μ</w:t>
            </w:r>
            <w:r>
              <w:rPr>
                <w:rFonts w:hint="eastAsia"/>
                <w:sz w:val="24"/>
                <w:szCs w:val="28"/>
              </w:rPr>
              <w:t>g/kg)                ≤</w:t>
            </w:r>
          </w:p>
        </w:tc>
        <w:tc>
          <w:tcPr>
            <w:tcW w:w="4315" w:type="dxa"/>
            <w:vAlign w:val="center"/>
          </w:tcPr>
          <w:p>
            <w:pPr>
              <w:adjustRightInd w:val="0"/>
              <w:snapToGrid w:val="0"/>
              <w:jc w:val="center"/>
              <w:rPr>
                <w:sz w:val="24"/>
                <w:szCs w:val="28"/>
              </w:rPr>
            </w:pPr>
            <w:r>
              <w:rPr>
                <w:rFonts w:hint="eastAsia"/>
                <w:sz w:val="24"/>
                <w:szCs w:val="28"/>
              </w:rPr>
              <w:t>2.0</w:t>
            </w:r>
          </w:p>
        </w:tc>
      </w:tr>
    </w:tbl>
    <w:p>
      <w:pPr>
        <w:spacing w:line="360" w:lineRule="auto"/>
        <w:ind w:firstLine="640" w:firstLineChars="200"/>
        <w:rPr>
          <w:bCs/>
          <w:szCs w:val="32"/>
        </w:rPr>
      </w:pPr>
      <w:r>
        <w:rPr>
          <w:bCs/>
          <w:szCs w:val="32"/>
        </w:rPr>
        <w:t>3.5.</w:t>
      </w:r>
      <w:r>
        <w:rPr>
          <w:rFonts w:hint="eastAsia"/>
          <w:bCs/>
          <w:szCs w:val="32"/>
        </w:rPr>
        <w:t>4</w:t>
      </w:r>
      <w:r>
        <w:rPr>
          <w:bCs/>
          <w:szCs w:val="32"/>
        </w:rPr>
        <w:t xml:space="preserve"> </w:t>
      </w:r>
      <w:r>
        <w:rPr>
          <w:rFonts w:hint="eastAsia"/>
          <w:bCs/>
          <w:szCs w:val="32"/>
        </w:rPr>
        <w:t>真菌毒素</w:t>
      </w:r>
      <w:r>
        <w:rPr>
          <w:bCs/>
          <w:szCs w:val="32"/>
        </w:rPr>
        <w:t>指标要求</w:t>
      </w:r>
    </w:p>
    <w:p>
      <w:pPr>
        <w:spacing w:line="360" w:lineRule="auto"/>
        <w:ind w:firstLine="640" w:firstLineChars="200"/>
        <w:rPr>
          <w:szCs w:val="32"/>
        </w:rPr>
      </w:pPr>
      <w:r>
        <w:rPr>
          <w:rFonts w:hint="eastAsia"/>
          <w:szCs w:val="32"/>
        </w:rPr>
        <w:t>小麦粉真菌毒素</w:t>
      </w:r>
      <w:r>
        <w:rPr>
          <w:szCs w:val="32"/>
        </w:rPr>
        <w:t>指标应符合表</w:t>
      </w:r>
      <w:r>
        <w:rPr>
          <w:rFonts w:hint="eastAsia"/>
          <w:szCs w:val="32"/>
        </w:rPr>
        <w:t>6</w:t>
      </w:r>
      <w:r>
        <w:rPr>
          <w:szCs w:val="32"/>
        </w:rPr>
        <w:t>要求。</w:t>
      </w:r>
    </w:p>
    <w:p>
      <w:pPr>
        <w:spacing w:line="360" w:lineRule="auto"/>
        <w:jc w:val="center"/>
        <w:rPr>
          <w:rFonts w:ascii="黑体" w:hAnsi="黑体" w:eastAsia="黑体"/>
          <w:sz w:val="28"/>
          <w:szCs w:val="28"/>
        </w:rPr>
      </w:pPr>
      <w:r>
        <w:rPr>
          <w:rFonts w:ascii="黑体" w:hAnsi="黑体" w:eastAsia="黑体"/>
          <w:sz w:val="28"/>
          <w:szCs w:val="28"/>
        </w:rPr>
        <w:t>表</w:t>
      </w:r>
      <w:r>
        <w:rPr>
          <w:rFonts w:hint="eastAsia" w:ascii="黑体" w:hAnsi="黑体" w:eastAsia="黑体"/>
          <w:sz w:val="28"/>
          <w:szCs w:val="28"/>
        </w:rPr>
        <w:t>6</w:t>
      </w:r>
      <w:r>
        <w:rPr>
          <w:rFonts w:ascii="黑体" w:hAnsi="黑体" w:eastAsia="黑体"/>
          <w:sz w:val="28"/>
          <w:szCs w:val="28"/>
        </w:rPr>
        <w:t xml:space="preserve"> </w:t>
      </w:r>
      <w:r>
        <w:rPr>
          <w:rFonts w:hint="eastAsia" w:ascii="黑体" w:hAnsi="黑体" w:eastAsia="黑体"/>
          <w:sz w:val="28"/>
          <w:szCs w:val="28"/>
        </w:rPr>
        <w:t>小麦粉真菌毒素</w:t>
      </w:r>
      <w:r>
        <w:rPr>
          <w:rFonts w:ascii="黑体" w:hAnsi="黑体" w:eastAsia="黑体"/>
          <w:sz w:val="28"/>
          <w:szCs w:val="28"/>
        </w:rPr>
        <w:t>指标要求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5"/>
        <w:gridCol w:w="4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315" w:type="dxa"/>
            <w:vAlign w:val="center"/>
          </w:tcPr>
          <w:p>
            <w:pPr>
              <w:adjustRightInd w:val="0"/>
              <w:snapToGrid w:val="0"/>
              <w:jc w:val="center"/>
              <w:rPr>
                <w:rFonts w:ascii="黑体" w:hAnsi="黑体" w:eastAsia="黑体"/>
                <w:sz w:val="24"/>
                <w:szCs w:val="28"/>
              </w:rPr>
            </w:pPr>
            <w:r>
              <w:rPr>
                <w:rFonts w:ascii="黑体" w:hAnsi="黑体" w:eastAsia="黑体"/>
                <w:sz w:val="24"/>
                <w:szCs w:val="28"/>
              </w:rPr>
              <w:t>项目</w:t>
            </w:r>
          </w:p>
        </w:tc>
        <w:tc>
          <w:tcPr>
            <w:tcW w:w="4315" w:type="dxa"/>
            <w:vAlign w:val="center"/>
          </w:tcPr>
          <w:p>
            <w:pPr>
              <w:adjustRightInd w:val="0"/>
              <w:snapToGrid w:val="0"/>
              <w:jc w:val="center"/>
              <w:rPr>
                <w:rFonts w:ascii="黑体" w:hAnsi="黑体" w:eastAsia="黑体"/>
                <w:sz w:val="24"/>
                <w:szCs w:val="28"/>
              </w:rPr>
            </w:pPr>
            <w:r>
              <w:rPr>
                <w:rFonts w:ascii="黑体" w:hAnsi="黑体" w:eastAsia="黑体"/>
                <w:sz w:val="24"/>
                <w:szCs w:val="2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315" w:type="dxa"/>
            <w:vAlign w:val="center"/>
          </w:tcPr>
          <w:p>
            <w:pPr>
              <w:adjustRightInd w:val="0"/>
              <w:snapToGrid w:val="0"/>
              <w:jc w:val="left"/>
              <w:rPr>
                <w:sz w:val="24"/>
                <w:szCs w:val="28"/>
              </w:rPr>
            </w:pPr>
            <w:r>
              <w:rPr>
                <w:rFonts w:hint="eastAsia"/>
                <w:sz w:val="24"/>
                <w:szCs w:val="28"/>
              </w:rPr>
              <w:t>黄曲霉毒素B</w:t>
            </w:r>
            <w:r>
              <w:rPr>
                <w:rFonts w:hint="eastAsia"/>
                <w:sz w:val="24"/>
                <w:szCs w:val="28"/>
                <w:vertAlign w:val="subscript"/>
              </w:rPr>
              <w:t>1</w:t>
            </w:r>
            <w:r>
              <w:rPr>
                <w:rFonts w:hint="eastAsia"/>
                <w:sz w:val="24"/>
                <w:szCs w:val="28"/>
              </w:rPr>
              <w:t>/(</w:t>
            </w:r>
            <w:r>
              <w:rPr>
                <w:rFonts w:hint="eastAsia" w:ascii="仿宋_GB2312"/>
                <w:sz w:val="24"/>
                <w:szCs w:val="28"/>
              </w:rPr>
              <w:t>μ</w:t>
            </w:r>
            <w:r>
              <w:rPr>
                <w:rFonts w:hint="eastAsia"/>
                <w:sz w:val="24"/>
                <w:szCs w:val="28"/>
              </w:rPr>
              <w:t>g/kg)            ≤</w:t>
            </w:r>
          </w:p>
        </w:tc>
        <w:tc>
          <w:tcPr>
            <w:tcW w:w="4315" w:type="dxa"/>
            <w:vAlign w:val="center"/>
          </w:tcPr>
          <w:p>
            <w:pPr>
              <w:adjustRightInd w:val="0"/>
              <w:snapToGrid w:val="0"/>
              <w:jc w:val="center"/>
              <w:rPr>
                <w:sz w:val="24"/>
                <w:szCs w:val="28"/>
              </w:rPr>
            </w:pPr>
            <w:r>
              <w:rPr>
                <w:rFonts w:hint="eastAsia"/>
                <w:sz w:val="24"/>
                <w:szCs w:val="28"/>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315" w:type="dxa"/>
            <w:vAlign w:val="center"/>
          </w:tcPr>
          <w:p>
            <w:pPr>
              <w:adjustRightInd w:val="0"/>
              <w:snapToGrid w:val="0"/>
              <w:jc w:val="left"/>
              <w:rPr>
                <w:sz w:val="24"/>
                <w:szCs w:val="28"/>
              </w:rPr>
            </w:pPr>
            <w:r>
              <w:rPr>
                <w:rFonts w:hint="eastAsia"/>
                <w:sz w:val="24"/>
                <w:szCs w:val="28"/>
              </w:rPr>
              <w:t>脱氧雪腐镰刀菌烯醇/(</w:t>
            </w:r>
            <w:r>
              <w:rPr>
                <w:rFonts w:hint="eastAsia" w:ascii="仿宋_GB2312"/>
                <w:sz w:val="24"/>
                <w:szCs w:val="28"/>
              </w:rPr>
              <w:t>μ</w:t>
            </w:r>
            <w:r>
              <w:rPr>
                <w:rFonts w:hint="eastAsia"/>
                <w:sz w:val="24"/>
                <w:szCs w:val="28"/>
              </w:rPr>
              <w:t>g/kg)      ≤</w:t>
            </w:r>
          </w:p>
        </w:tc>
        <w:tc>
          <w:tcPr>
            <w:tcW w:w="4315" w:type="dxa"/>
            <w:vAlign w:val="center"/>
          </w:tcPr>
          <w:p>
            <w:pPr>
              <w:adjustRightInd w:val="0"/>
              <w:snapToGrid w:val="0"/>
              <w:jc w:val="center"/>
              <w:rPr>
                <w:sz w:val="24"/>
                <w:szCs w:val="28"/>
              </w:rPr>
            </w:pPr>
            <w:r>
              <w:rPr>
                <w:rFonts w:hint="eastAsia"/>
                <w:sz w:val="24"/>
                <w:szCs w:val="2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315" w:type="dxa"/>
            <w:vAlign w:val="center"/>
          </w:tcPr>
          <w:p>
            <w:pPr>
              <w:adjustRightInd w:val="0"/>
              <w:snapToGrid w:val="0"/>
              <w:jc w:val="left"/>
              <w:rPr>
                <w:sz w:val="24"/>
                <w:szCs w:val="28"/>
              </w:rPr>
            </w:pPr>
            <w:r>
              <w:rPr>
                <w:rFonts w:hint="eastAsia"/>
                <w:sz w:val="24"/>
                <w:szCs w:val="28"/>
              </w:rPr>
              <w:t>赭曲霉毒素A/(</w:t>
            </w:r>
            <w:r>
              <w:rPr>
                <w:rFonts w:hint="eastAsia" w:ascii="仿宋_GB2312"/>
                <w:sz w:val="24"/>
                <w:szCs w:val="28"/>
              </w:rPr>
              <w:t>μ</w:t>
            </w:r>
            <w:r>
              <w:rPr>
                <w:rFonts w:hint="eastAsia"/>
                <w:sz w:val="24"/>
                <w:szCs w:val="28"/>
              </w:rPr>
              <w:t>g/kg)            ≤</w:t>
            </w:r>
          </w:p>
        </w:tc>
        <w:tc>
          <w:tcPr>
            <w:tcW w:w="4315" w:type="dxa"/>
            <w:vAlign w:val="center"/>
          </w:tcPr>
          <w:p>
            <w:pPr>
              <w:adjustRightInd w:val="0"/>
              <w:snapToGrid w:val="0"/>
              <w:jc w:val="center"/>
              <w:rPr>
                <w:sz w:val="24"/>
                <w:szCs w:val="28"/>
              </w:rPr>
            </w:pPr>
            <w:r>
              <w:rPr>
                <w:rFonts w:hint="eastAsia"/>
                <w:sz w:val="24"/>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315" w:type="dxa"/>
            <w:vAlign w:val="center"/>
          </w:tcPr>
          <w:p>
            <w:pPr>
              <w:adjustRightInd w:val="0"/>
              <w:snapToGrid w:val="0"/>
              <w:jc w:val="left"/>
              <w:rPr>
                <w:sz w:val="24"/>
                <w:szCs w:val="28"/>
              </w:rPr>
            </w:pPr>
            <w:r>
              <w:rPr>
                <w:rFonts w:hint="eastAsia"/>
                <w:sz w:val="24"/>
                <w:szCs w:val="28"/>
              </w:rPr>
              <w:t>玉米赤霉烯酮/(</w:t>
            </w:r>
            <w:r>
              <w:rPr>
                <w:rFonts w:hint="eastAsia" w:ascii="仿宋_GB2312"/>
                <w:sz w:val="24"/>
                <w:szCs w:val="28"/>
              </w:rPr>
              <w:t>μ</w:t>
            </w:r>
            <w:r>
              <w:rPr>
                <w:rFonts w:hint="eastAsia"/>
                <w:sz w:val="24"/>
                <w:szCs w:val="28"/>
              </w:rPr>
              <w:t>g/kg)            ≤</w:t>
            </w:r>
          </w:p>
        </w:tc>
        <w:tc>
          <w:tcPr>
            <w:tcW w:w="4315" w:type="dxa"/>
            <w:vAlign w:val="center"/>
          </w:tcPr>
          <w:p>
            <w:pPr>
              <w:adjustRightInd w:val="0"/>
              <w:snapToGrid w:val="0"/>
              <w:jc w:val="center"/>
              <w:rPr>
                <w:sz w:val="24"/>
                <w:szCs w:val="28"/>
              </w:rPr>
            </w:pPr>
            <w:r>
              <w:rPr>
                <w:rFonts w:hint="eastAsia"/>
                <w:sz w:val="24"/>
                <w:szCs w:val="28"/>
              </w:rPr>
              <w:t>50</w:t>
            </w:r>
          </w:p>
        </w:tc>
      </w:tr>
    </w:tbl>
    <w:p>
      <w:pPr>
        <w:spacing w:line="600" w:lineRule="exact"/>
        <w:ind w:firstLine="640" w:firstLineChars="200"/>
        <w:rPr>
          <w:bCs/>
          <w:szCs w:val="32"/>
        </w:rPr>
      </w:pPr>
      <w:r>
        <w:rPr>
          <w:bCs/>
          <w:szCs w:val="32"/>
        </w:rPr>
        <w:t>3.5.</w:t>
      </w:r>
      <w:r>
        <w:rPr>
          <w:rFonts w:hint="eastAsia"/>
          <w:bCs/>
          <w:szCs w:val="32"/>
        </w:rPr>
        <w:t>5</w:t>
      </w:r>
      <w:r>
        <w:rPr>
          <w:bCs/>
          <w:szCs w:val="32"/>
        </w:rPr>
        <w:t xml:space="preserve"> 食品添加剂指标要求</w:t>
      </w:r>
    </w:p>
    <w:p>
      <w:pPr>
        <w:spacing w:line="360" w:lineRule="auto"/>
        <w:ind w:firstLine="640" w:firstLineChars="200"/>
        <w:jc w:val="left"/>
        <w:rPr>
          <w:szCs w:val="32"/>
        </w:rPr>
      </w:pPr>
      <w:r>
        <w:rPr>
          <w:szCs w:val="32"/>
        </w:rPr>
        <w:t>申请“食在广州”评价认证的</w:t>
      </w:r>
      <w:r>
        <w:rPr>
          <w:rFonts w:hint="eastAsia"/>
          <w:szCs w:val="32"/>
        </w:rPr>
        <w:t>小麦粉的</w:t>
      </w:r>
      <w:r>
        <w:rPr>
          <w:szCs w:val="32"/>
        </w:rPr>
        <w:t>食品添加剂的使用应符合GB 2760</w:t>
      </w:r>
      <w:r>
        <w:rPr>
          <w:rFonts w:hint="eastAsia"/>
          <w:szCs w:val="32"/>
        </w:rPr>
        <w:t>的</w:t>
      </w:r>
      <w:r>
        <w:rPr>
          <w:szCs w:val="32"/>
        </w:rPr>
        <w:t>要求。在保证生产工艺的前提下，应减少使用或不使用食品添加剂。</w:t>
      </w:r>
    </w:p>
    <w:p>
      <w:pPr>
        <w:spacing w:line="600" w:lineRule="exact"/>
        <w:ind w:firstLine="640" w:firstLineChars="200"/>
        <w:rPr>
          <w:bCs/>
          <w:szCs w:val="32"/>
        </w:rPr>
      </w:pPr>
      <w:r>
        <w:rPr>
          <w:bCs/>
          <w:szCs w:val="32"/>
        </w:rPr>
        <w:t>3.5.</w:t>
      </w:r>
      <w:r>
        <w:rPr>
          <w:rFonts w:hint="eastAsia"/>
          <w:bCs/>
          <w:szCs w:val="32"/>
        </w:rPr>
        <w:t>6</w:t>
      </w:r>
      <w:r>
        <w:rPr>
          <w:bCs/>
          <w:szCs w:val="32"/>
        </w:rPr>
        <w:t xml:space="preserve"> 农药残留指标要求</w:t>
      </w:r>
    </w:p>
    <w:p>
      <w:pPr>
        <w:spacing w:line="360" w:lineRule="auto"/>
        <w:ind w:firstLine="640" w:firstLineChars="200"/>
        <w:jc w:val="left"/>
        <w:rPr>
          <w:szCs w:val="32"/>
        </w:rPr>
      </w:pPr>
      <w:r>
        <w:rPr>
          <w:szCs w:val="32"/>
        </w:rPr>
        <w:t>申请“食在广州”评价认证的</w:t>
      </w:r>
      <w:r>
        <w:rPr>
          <w:rFonts w:hint="eastAsia"/>
          <w:szCs w:val="32"/>
        </w:rPr>
        <w:t>小麦粉的农药残留</w:t>
      </w:r>
      <w:r>
        <w:rPr>
          <w:szCs w:val="32"/>
        </w:rPr>
        <w:t>指标符合GB 276</w:t>
      </w:r>
      <w:r>
        <w:rPr>
          <w:rFonts w:hint="eastAsia"/>
          <w:szCs w:val="32"/>
        </w:rPr>
        <w:t>3和GB 2763.1的</w:t>
      </w:r>
      <w:r>
        <w:rPr>
          <w:szCs w:val="32"/>
        </w:rPr>
        <w:t>要求。</w:t>
      </w:r>
    </w:p>
    <w:p>
      <w:pPr>
        <w:spacing w:line="600" w:lineRule="exact"/>
        <w:ind w:firstLine="640" w:firstLineChars="200"/>
        <w:rPr>
          <w:bCs/>
          <w:color w:val="000000"/>
          <w:szCs w:val="32"/>
        </w:rPr>
      </w:pPr>
      <w:r>
        <w:rPr>
          <w:rFonts w:hint="eastAsia"/>
          <w:bCs/>
          <w:color w:val="000000"/>
          <w:szCs w:val="32"/>
        </w:rPr>
        <w:t>3.5.7 非食用物质指标要求</w:t>
      </w:r>
    </w:p>
    <w:p>
      <w:pPr>
        <w:spacing w:line="600" w:lineRule="exact"/>
        <w:ind w:firstLine="640" w:firstLineChars="200"/>
        <w:rPr>
          <w:szCs w:val="32"/>
        </w:rPr>
      </w:pPr>
      <w:r>
        <w:rPr>
          <w:rFonts w:hint="eastAsia"/>
          <w:szCs w:val="32"/>
        </w:rPr>
        <w:t>小麦粉非食用物质</w:t>
      </w:r>
      <w:r>
        <w:rPr>
          <w:szCs w:val="32"/>
        </w:rPr>
        <w:t>指标应符合表</w:t>
      </w:r>
      <w:r>
        <w:rPr>
          <w:rFonts w:hint="eastAsia"/>
          <w:szCs w:val="32"/>
        </w:rPr>
        <w:t>7</w:t>
      </w:r>
      <w:r>
        <w:rPr>
          <w:szCs w:val="32"/>
        </w:rPr>
        <w:t>要求。</w:t>
      </w:r>
    </w:p>
    <w:p>
      <w:pPr>
        <w:spacing w:line="360" w:lineRule="auto"/>
        <w:jc w:val="center"/>
        <w:rPr>
          <w:rFonts w:ascii="黑体" w:hAnsi="黑体" w:eastAsia="黑体"/>
          <w:sz w:val="28"/>
          <w:szCs w:val="28"/>
        </w:rPr>
      </w:pPr>
      <w:r>
        <w:rPr>
          <w:rFonts w:ascii="黑体" w:hAnsi="黑体" w:eastAsia="黑体"/>
          <w:sz w:val="28"/>
          <w:szCs w:val="28"/>
        </w:rPr>
        <w:t>表</w:t>
      </w:r>
      <w:r>
        <w:rPr>
          <w:rFonts w:hint="eastAsia" w:ascii="黑体" w:hAnsi="黑体" w:eastAsia="黑体"/>
          <w:sz w:val="28"/>
          <w:szCs w:val="28"/>
        </w:rPr>
        <w:t>7</w:t>
      </w:r>
      <w:r>
        <w:rPr>
          <w:rFonts w:ascii="黑体" w:hAnsi="黑体" w:eastAsia="黑体"/>
          <w:sz w:val="28"/>
          <w:szCs w:val="28"/>
        </w:rPr>
        <w:t xml:space="preserve"> </w:t>
      </w:r>
      <w:r>
        <w:rPr>
          <w:rFonts w:hint="eastAsia" w:ascii="黑体" w:hAnsi="黑体" w:eastAsia="黑体"/>
          <w:sz w:val="28"/>
          <w:szCs w:val="28"/>
        </w:rPr>
        <w:t>小麦粉非食用物质</w:t>
      </w:r>
      <w:r>
        <w:rPr>
          <w:rFonts w:ascii="黑体" w:hAnsi="黑体" w:eastAsia="黑体"/>
          <w:sz w:val="28"/>
          <w:szCs w:val="28"/>
        </w:rPr>
        <w:t>指标要求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5"/>
        <w:gridCol w:w="3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315" w:type="dxa"/>
            <w:vAlign w:val="center"/>
          </w:tcPr>
          <w:p>
            <w:pPr>
              <w:adjustRightInd w:val="0"/>
              <w:snapToGrid w:val="0"/>
              <w:jc w:val="center"/>
              <w:rPr>
                <w:rFonts w:ascii="黑体" w:hAnsi="黑体" w:eastAsia="黑体"/>
                <w:sz w:val="24"/>
                <w:szCs w:val="28"/>
              </w:rPr>
            </w:pPr>
            <w:r>
              <w:rPr>
                <w:rFonts w:ascii="黑体" w:hAnsi="黑体" w:eastAsia="黑体"/>
                <w:sz w:val="24"/>
                <w:szCs w:val="28"/>
              </w:rPr>
              <w:t>项目</w:t>
            </w:r>
          </w:p>
        </w:tc>
        <w:tc>
          <w:tcPr>
            <w:tcW w:w="3448" w:type="dxa"/>
            <w:vAlign w:val="center"/>
          </w:tcPr>
          <w:p>
            <w:pPr>
              <w:adjustRightInd w:val="0"/>
              <w:snapToGrid w:val="0"/>
              <w:jc w:val="center"/>
              <w:rPr>
                <w:rFonts w:ascii="黑体" w:hAnsi="黑体" w:eastAsia="黑体"/>
                <w:sz w:val="24"/>
                <w:szCs w:val="28"/>
              </w:rPr>
            </w:pPr>
            <w:r>
              <w:rPr>
                <w:rFonts w:ascii="黑体" w:hAnsi="黑体" w:eastAsia="黑体"/>
                <w:sz w:val="24"/>
                <w:szCs w:val="2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315" w:type="dxa"/>
            <w:vAlign w:val="center"/>
          </w:tcPr>
          <w:p>
            <w:pPr>
              <w:adjustRightInd w:val="0"/>
              <w:snapToGrid w:val="0"/>
              <w:jc w:val="left"/>
              <w:rPr>
                <w:sz w:val="24"/>
                <w:szCs w:val="28"/>
              </w:rPr>
            </w:pPr>
            <w:r>
              <w:rPr>
                <w:rFonts w:hint="eastAsia"/>
                <w:sz w:val="24"/>
                <w:szCs w:val="28"/>
              </w:rPr>
              <w:t>苯甲羟肟酸                      ≤</w:t>
            </w:r>
          </w:p>
        </w:tc>
        <w:tc>
          <w:tcPr>
            <w:tcW w:w="3448" w:type="dxa"/>
            <w:vAlign w:val="center"/>
          </w:tcPr>
          <w:p>
            <w:pPr>
              <w:adjustRightInd w:val="0"/>
              <w:snapToGrid w:val="0"/>
              <w:jc w:val="center"/>
              <w:rPr>
                <w:sz w:val="24"/>
                <w:szCs w:val="28"/>
              </w:rPr>
            </w:pPr>
            <w:r>
              <w:rPr>
                <w:rFonts w:hint="eastAsia"/>
                <w:sz w:val="24"/>
                <w:szCs w:val="28"/>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315" w:type="dxa"/>
            <w:vAlign w:val="center"/>
          </w:tcPr>
          <w:p>
            <w:pPr>
              <w:adjustRightInd w:val="0"/>
              <w:snapToGrid w:val="0"/>
              <w:jc w:val="left"/>
              <w:rPr>
                <w:sz w:val="24"/>
                <w:szCs w:val="28"/>
              </w:rPr>
            </w:pPr>
            <w:r>
              <w:rPr>
                <w:rFonts w:hint="eastAsia"/>
                <w:sz w:val="24"/>
                <w:szCs w:val="28"/>
              </w:rPr>
              <w:t>三聚硫氰酸三钠盐                ≤</w:t>
            </w:r>
          </w:p>
        </w:tc>
        <w:tc>
          <w:tcPr>
            <w:tcW w:w="3448" w:type="dxa"/>
            <w:vAlign w:val="center"/>
          </w:tcPr>
          <w:p>
            <w:pPr>
              <w:adjustRightInd w:val="0"/>
              <w:snapToGrid w:val="0"/>
              <w:jc w:val="center"/>
              <w:rPr>
                <w:sz w:val="24"/>
                <w:szCs w:val="28"/>
              </w:rPr>
            </w:pPr>
            <w:r>
              <w:rPr>
                <w:rFonts w:hint="eastAsia"/>
                <w:sz w:val="24"/>
                <w:szCs w:val="28"/>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315" w:type="dxa"/>
            <w:vAlign w:val="center"/>
          </w:tcPr>
          <w:p>
            <w:pPr>
              <w:adjustRightInd w:val="0"/>
              <w:snapToGrid w:val="0"/>
              <w:jc w:val="left"/>
              <w:rPr>
                <w:sz w:val="24"/>
                <w:szCs w:val="28"/>
              </w:rPr>
            </w:pPr>
            <w:r>
              <w:rPr>
                <w:rFonts w:hint="eastAsia"/>
                <w:sz w:val="24"/>
                <w:szCs w:val="28"/>
              </w:rPr>
              <w:t>曲酸                            ≤</w:t>
            </w:r>
          </w:p>
        </w:tc>
        <w:tc>
          <w:tcPr>
            <w:tcW w:w="3448" w:type="dxa"/>
            <w:vAlign w:val="center"/>
          </w:tcPr>
          <w:p>
            <w:pPr>
              <w:adjustRightInd w:val="0"/>
              <w:snapToGrid w:val="0"/>
              <w:jc w:val="center"/>
              <w:rPr>
                <w:sz w:val="24"/>
                <w:szCs w:val="28"/>
              </w:rPr>
            </w:pPr>
            <w:r>
              <w:rPr>
                <w:rFonts w:hint="eastAsia"/>
                <w:sz w:val="24"/>
                <w:szCs w:val="28"/>
              </w:rPr>
              <w:t>不得检出</w:t>
            </w:r>
          </w:p>
        </w:tc>
      </w:tr>
    </w:tbl>
    <w:p>
      <w:pPr>
        <w:spacing w:line="600" w:lineRule="exact"/>
        <w:ind w:firstLine="642" w:firstLineChars="200"/>
        <w:rPr>
          <w:b/>
          <w:bCs/>
          <w:color w:val="000000"/>
          <w:szCs w:val="32"/>
        </w:rPr>
      </w:pPr>
      <w:r>
        <w:rPr>
          <w:b/>
          <w:bCs/>
          <w:color w:val="000000"/>
          <w:szCs w:val="32"/>
        </w:rPr>
        <w:t>四、产品检验要求</w:t>
      </w:r>
    </w:p>
    <w:p>
      <w:pPr>
        <w:spacing w:line="600" w:lineRule="exact"/>
        <w:ind w:firstLine="640" w:firstLineChars="200"/>
        <w:rPr>
          <w:color w:val="000000"/>
          <w:szCs w:val="32"/>
        </w:rPr>
      </w:pPr>
      <w:r>
        <w:rPr>
          <w:color w:val="000000"/>
          <w:szCs w:val="32"/>
        </w:rPr>
        <w:t>申请</w:t>
      </w:r>
      <w:r>
        <w:rPr>
          <w:rFonts w:hint="eastAsia"/>
          <w:color w:val="000000"/>
          <w:szCs w:val="32"/>
        </w:rPr>
        <w:t>小麦粉</w:t>
      </w:r>
      <w:r>
        <w:rPr>
          <w:color w:val="000000"/>
          <w:szCs w:val="32"/>
        </w:rPr>
        <w:t>“食在广州”评价认证的企业应按所申请产品种类，提供符合本认证技术规范要求的产品检验报告，企业对检验报告真实性负责。</w:t>
      </w:r>
    </w:p>
    <w:p>
      <w:pPr>
        <w:ind w:firstLine="640" w:firstLineChars="200"/>
      </w:pPr>
      <w:r>
        <w:rPr>
          <w:color w:val="000000"/>
          <w:szCs w:val="32"/>
        </w:rPr>
        <w:t>检验项目应符合本认证技术规范要求，对应检测方法可采用适用的国家标准、行业标准、地方标准等及国务院卫生行政部门的相关公告方法。</w:t>
      </w:r>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等线">
    <w:altName w:val="汉仪中圆B5"/>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260FA"/>
    <w:multiLevelType w:val="multilevel"/>
    <w:tmpl w:val="646260FA"/>
    <w:lvl w:ilvl="0" w:tentative="0">
      <w:start w:val="1"/>
      <w:numFmt w:val="decimal"/>
      <w:pStyle w:val="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MGYyNjVhMzBlZjdjMWUxMjk5NWMxYjc3ZjE4NTMifQ=="/>
  </w:docVars>
  <w:rsids>
    <w:rsidRoot w:val="01366086"/>
    <w:rsid w:val="00016A61"/>
    <w:rsid w:val="0006737F"/>
    <w:rsid w:val="000F01A9"/>
    <w:rsid w:val="000F3B71"/>
    <w:rsid w:val="00174CFE"/>
    <w:rsid w:val="00182FEA"/>
    <w:rsid w:val="001853BC"/>
    <w:rsid w:val="00193799"/>
    <w:rsid w:val="002100FC"/>
    <w:rsid w:val="002115EE"/>
    <w:rsid w:val="0028214F"/>
    <w:rsid w:val="002837EA"/>
    <w:rsid w:val="002A5823"/>
    <w:rsid w:val="002B1490"/>
    <w:rsid w:val="002B40B9"/>
    <w:rsid w:val="002E45F6"/>
    <w:rsid w:val="002E78C5"/>
    <w:rsid w:val="002F1976"/>
    <w:rsid w:val="002F4EB2"/>
    <w:rsid w:val="003716FF"/>
    <w:rsid w:val="00381DB5"/>
    <w:rsid w:val="003957D0"/>
    <w:rsid w:val="003B3055"/>
    <w:rsid w:val="003B33BB"/>
    <w:rsid w:val="003F7FCC"/>
    <w:rsid w:val="00402F64"/>
    <w:rsid w:val="00421574"/>
    <w:rsid w:val="00423043"/>
    <w:rsid w:val="00424A64"/>
    <w:rsid w:val="00434BF1"/>
    <w:rsid w:val="00442086"/>
    <w:rsid w:val="00444C9B"/>
    <w:rsid w:val="00471962"/>
    <w:rsid w:val="00472C34"/>
    <w:rsid w:val="00474E6F"/>
    <w:rsid w:val="004842E5"/>
    <w:rsid w:val="004A3B32"/>
    <w:rsid w:val="004A6122"/>
    <w:rsid w:val="004A7A79"/>
    <w:rsid w:val="004B25EF"/>
    <w:rsid w:val="004B6CEE"/>
    <w:rsid w:val="004E271D"/>
    <w:rsid w:val="004E452E"/>
    <w:rsid w:val="004F6F64"/>
    <w:rsid w:val="0051201B"/>
    <w:rsid w:val="00513F66"/>
    <w:rsid w:val="00515D2D"/>
    <w:rsid w:val="00527BA6"/>
    <w:rsid w:val="00534DC7"/>
    <w:rsid w:val="00567307"/>
    <w:rsid w:val="0056741D"/>
    <w:rsid w:val="00572AA1"/>
    <w:rsid w:val="0057722C"/>
    <w:rsid w:val="005A7DEB"/>
    <w:rsid w:val="005B6DB7"/>
    <w:rsid w:val="005D44D0"/>
    <w:rsid w:val="0061638E"/>
    <w:rsid w:val="00650F66"/>
    <w:rsid w:val="0068254E"/>
    <w:rsid w:val="006A1394"/>
    <w:rsid w:val="006B0F11"/>
    <w:rsid w:val="006B12A4"/>
    <w:rsid w:val="006D4880"/>
    <w:rsid w:val="00721418"/>
    <w:rsid w:val="00761841"/>
    <w:rsid w:val="00782EA5"/>
    <w:rsid w:val="00791C6D"/>
    <w:rsid w:val="00796F5A"/>
    <w:rsid w:val="007B394E"/>
    <w:rsid w:val="007C7511"/>
    <w:rsid w:val="007E51FA"/>
    <w:rsid w:val="007F4974"/>
    <w:rsid w:val="007F5630"/>
    <w:rsid w:val="00822978"/>
    <w:rsid w:val="00843187"/>
    <w:rsid w:val="008466A1"/>
    <w:rsid w:val="0087450C"/>
    <w:rsid w:val="008B4161"/>
    <w:rsid w:val="008B7966"/>
    <w:rsid w:val="008D6C24"/>
    <w:rsid w:val="008D6E5F"/>
    <w:rsid w:val="008E6AC7"/>
    <w:rsid w:val="00912C81"/>
    <w:rsid w:val="00925D14"/>
    <w:rsid w:val="00927915"/>
    <w:rsid w:val="00970A1A"/>
    <w:rsid w:val="009749D5"/>
    <w:rsid w:val="009921A8"/>
    <w:rsid w:val="00993622"/>
    <w:rsid w:val="009C6009"/>
    <w:rsid w:val="009D73CE"/>
    <w:rsid w:val="00A25889"/>
    <w:rsid w:val="00A46B7A"/>
    <w:rsid w:val="00A833D5"/>
    <w:rsid w:val="00AA0E2D"/>
    <w:rsid w:val="00AC6027"/>
    <w:rsid w:val="00AD6E16"/>
    <w:rsid w:val="00AE2AB3"/>
    <w:rsid w:val="00AE76A1"/>
    <w:rsid w:val="00AE7D0E"/>
    <w:rsid w:val="00B134A6"/>
    <w:rsid w:val="00B45065"/>
    <w:rsid w:val="00B453EB"/>
    <w:rsid w:val="00B94262"/>
    <w:rsid w:val="00BA09CB"/>
    <w:rsid w:val="00BA7C72"/>
    <w:rsid w:val="00BB3D79"/>
    <w:rsid w:val="00BC0B83"/>
    <w:rsid w:val="00BD53D7"/>
    <w:rsid w:val="00BF2F31"/>
    <w:rsid w:val="00C13948"/>
    <w:rsid w:val="00C534A4"/>
    <w:rsid w:val="00CC14EF"/>
    <w:rsid w:val="00D31532"/>
    <w:rsid w:val="00D3733F"/>
    <w:rsid w:val="00D93394"/>
    <w:rsid w:val="00DC08E0"/>
    <w:rsid w:val="00DD4EE6"/>
    <w:rsid w:val="00E20602"/>
    <w:rsid w:val="00E30E06"/>
    <w:rsid w:val="00E334DF"/>
    <w:rsid w:val="00E6088F"/>
    <w:rsid w:val="00E80BFC"/>
    <w:rsid w:val="00EB0366"/>
    <w:rsid w:val="00EB70FC"/>
    <w:rsid w:val="00EC43A4"/>
    <w:rsid w:val="00EE66D8"/>
    <w:rsid w:val="00EF5571"/>
    <w:rsid w:val="00EF72AE"/>
    <w:rsid w:val="00F14C5F"/>
    <w:rsid w:val="00F370EF"/>
    <w:rsid w:val="00F72560"/>
    <w:rsid w:val="00F80B40"/>
    <w:rsid w:val="00FA70F3"/>
    <w:rsid w:val="01366086"/>
    <w:rsid w:val="0357268F"/>
    <w:rsid w:val="03F91E91"/>
    <w:rsid w:val="04BE096F"/>
    <w:rsid w:val="07980A22"/>
    <w:rsid w:val="0A231396"/>
    <w:rsid w:val="0B4E34C6"/>
    <w:rsid w:val="0E631A71"/>
    <w:rsid w:val="10224785"/>
    <w:rsid w:val="11C82223"/>
    <w:rsid w:val="191C31A6"/>
    <w:rsid w:val="1FDF0762"/>
    <w:rsid w:val="1FE55560"/>
    <w:rsid w:val="20354CE9"/>
    <w:rsid w:val="208267A2"/>
    <w:rsid w:val="217D437D"/>
    <w:rsid w:val="218C0286"/>
    <w:rsid w:val="21E07BD9"/>
    <w:rsid w:val="22D62DBD"/>
    <w:rsid w:val="235660F0"/>
    <w:rsid w:val="243C1D02"/>
    <w:rsid w:val="25165925"/>
    <w:rsid w:val="260F6C90"/>
    <w:rsid w:val="274D290A"/>
    <w:rsid w:val="276E503D"/>
    <w:rsid w:val="2AAF6413"/>
    <w:rsid w:val="2B37195F"/>
    <w:rsid w:val="2C86655C"/>
    <w:rsid w:val="2D125BFD"/>
    <w:rsid w:val="2F5729E1"/>
    <w:rsid w:val="3008508B"/>
    <w:rsid w:val="3213519A"/>
    <w:rsid w:val="376B54F8"/>
    <w:rsid w:val="37E3AA54"/>
    <w:rsid w:val="38DD4377"/>
    <w:rsid w:val="3C2C51EA"/>
    <w:rsid w:val="3E266E23"/>
    <w:rsid w:val="3E464F69"/>
    <w:rsid w:val="41697F5C"/>
    <w:rsid w:val="44D426B2"/>
    <w:rsid w:val="46713F31"/>
    <w:rsid w:val="48931C1D"/>
    <w:rsid w:val="4A6F0C52"/>
    <w:rsid w:val="4C251AF9"/>
    <w:rsid w:val="4C2E2532"/>
    <w:rsid w:val="4D282E25"/>
    <w:rsid w:val="4D6640C3"/>
    <w:rsid w:val="4F4F32AA"/>
    <w:rsid w:val="51CE16E3"/>
    <w:rsid w:val="51EF21BF"/>
    <w:rsid w:val="534E3AAE"/>
    <w:rsid w:val="56605754"/>
    <w:rsid w:val="587047F2"/>
    <w:rsid w:val="5AA73592"/>
    <w:rsid w:val="5B4C57D4"/>
    <w:rsid w:val="5C823883"/>
    <w:rsid w:val="5D42240C"/>
    <w:rsid w:val="5D4C079D"/>
    <w:rsid w:val="5DB20B2D"/>
    <w:rsid w:val="624C08B0"/>
    <w:rsid w:val="67B22860"/>
    <w:rsid w:val="69CD0654"/>
    <w:rsid w:val="69ED6B03"/>
    <w:rsid w:val="6A7214AF"/>
    <w:rsid w:val="6A7A68BC"/>
    <w:rsid w:val="6C9A2B24"/>
    <w:rsid w:val="70DD7610"/>
    <w:rsid w:val="744F1357"/>
    <w:rsid w:val="7AF97A6B"/>
    <w:rsid w:val="7B6067B5"/>
    <w:rsid w:val="7B8F60F0"/>
    <w:rsid w:val="7D6861BE"/>
    <w:rsid w:val="7FAF47B9"/>
    <w:rsid w:val="7FFE8CFF"/>
    <w:rsid w:val="DEBC5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qFormat/>
    <w:uiPriority w:val="0"/>
    <w:rPr>
      <w:sz w:val="18"/>
      <w:szCs w:val="18"/>
    </w:rPr>
  </w:style>
  <w:style w:type="paragraph" w:styleId="4">
    <w:name w:val="footer"/>
    <w:basedOn w:val="1"/>
    <w:link w:val="20"/>
    <w:qFormat/>
    <w:uiPriority w:val="0"/>
    <w:pPr>
      <w:tabs>
        <w:tab w:val="center" w:pos="4153"/>
        <w:tab w:val="right" w:pos="8306"/>
      </w:tabs>
      <w:snapToGrid w:val="0"/>
      <w:jc w:val="left"/>
    </w:pPr>
    <w:rPr>
      <w:sz w:val="18"/>
      <w:szCs w:val="18"/>
    </w:rPr>
  </w:style>
  <w:style w:type="paragraph" w:styleId="5">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semiHidden/>
    <w:unhideWhenUsed/>
    <w:qFormat/>
    <w:uiPriority w:val="99"/>
    <w:rPr>
      <w:sz w:val="21"/>
      <w:szCs w:val="21"/>
    </w:rPr>
  </w:style>
  <w:style w:type="paragraph" w:customStyle="1" w:styleId="11">
    <w:name w:val="列出段落1"/>
    <w:basedOn w:val="1"/>
    <w:qFormat/>
    <w:uiPriority w:val="34"/>
    <w:pPr>
      <w:adjustRightInd w:val="0"/>
      <w:spacing w:line="400" w:lineRule="exact"/>
      <w:ind w:firstLine="420" w:firstLineChars="200"/>
    </w:pPr>
    <w:rPr>
      <w:rFonts w:ascii="Calibri" w:hAnsi="Calibri"/>
      <w:szCs w:val="21"/>
    </w:rPr>
  </w:style>
  <w:style w:type="paragraph" w:customStyle="1" w:styleId="1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
    <w:name w:val="标准文件_正文表标题"/>
    <w:next w:val="12"/>
    <w:qFormat/>
    <w:uiPriority w:val="0"/>
    <w:pPr>
      <w:numPr>
        <w:ilvl w:val="0"/>
        <w:numId w:val="1"/>
      </w:numPr>
      <w:tabs>
        <w:tab w:val="left" w:pos="0"/>
      </w:tabs>
      <w:spacing w:beforeLines="50" w:afterLines="50"/>
      <w:jc w:val="center"/>
    </w:pPr>
    <w:rPr>
      <w:rFonts w:ascii="黑体" w:hAnsi="Times New Roman" w:eastAsia="黑体" w:cs="Times New Roman"/>
      <w:sz w:val="21"/>
      <w:lang w:val="en-US" w:eastAsia="zh-CN" w:bidi="ar-SA"/>
    </w:rPr>
  </w:style>
  <w:style w:type="character" w:customStyle="1" w:styleId="14">
    <w:name w:val="批注文字 Char"/>
    <w:basedOn w:val="9"/>
    <w:link w:val="2"/>
    <w:semiHidden/>
    <w:qFormat/>
    <w:uiPriority w:val="99"/>
    <w:rPr>
      <w:rFonts w:eastAsia="仿宋_GB2312"/>
      <w:kern w:val="2"/>
      <w:sz w:val="32"/>
    </w:rPr>
  </w:style>
  <w:style w:type="character" w:customStyle="1" w:styleId="15">
    <w:name w:val="批注主题 Char"/>
    <w:basedOn w:val="14"/>
    <w:link w:val="6"/>
    <w:qFormat/>
    <w:uiPriority w:val="0"/>
    <w:rPr>
      <w:rFonts w:eastAsia="仿宋_GB2312"/>
      <w:b/>
      <w:bCs/>
      <w:kern w:val="2"/>
      <w:sz w:val="32"/>
    </w:rPr>
  </w:style>
  <w:style w:type="character" w:customStyle="1" w:styleId="16">
    <w:name w:val="批注框文本 Char"/>
    <w:basedOn w:val="9"/>
    <w:link w:val="3"/>
    <w:qFormat/>
    <w:uiPriority w:val="0"/>
    <w:rPr>
      <w:rFonts w:eastAsia="仿宋_GB2312"/>
      <w:kern w:val="2"/>
      <w:sz w:val="18"/>
      <w:szCs w:val="18"/>
    </w:rPr>
  </w:style>
  <w:style w:type="character" w:customStyle="1" w:styleId="17">
    <w:name w:val="font11"/>
    <w:basedOn w:val="9"/>
    <w:qFormat/>
    <w:uiPriority w:val="0"/>
    <w:rPr>
      <w:rFonts w:hint="eastAsia" w:ascii="等线" w:hAnsi="等线" w:eastAsia="等线" w:cs="等线"/>
      <w:color w:val="000000"/>
      <w:sz w:val="24"/>
      <w:szCs w:val="24"/>
      <w:u w:val="none"/>
    </w:rPr>
  </w:style>
  <w:style w:type="character" w:customStyle="1" w:styleId="18">
    <w:name w:val="font31"/>
    <w:basedOn w:val="9"/>
    <w:qFormat/>
    <w:uiPriority w:val="0"/>
    <w:rPr>
      <w:rFonts w:hint="eastAsia" w:ascii="等线" w:hAnsi="等线" w:eastAsia="等线" w:cs="等线"/>
      <w:color w:val="000000"/>
      <w:sz w:val="20"/>
      <w:szCs w:val="20"/>
      <w:u w:val="none"/>
    </w:rPr>
  </w:style>
  <w:style w:type="character" w:customStyle="1" w:styleId="19">
    <w:name w:val="页眉 Char"/>
    <w:basedOn w:val="9"/>
    <w:link w:val="5"/>
    <w:qFormat/>
    <w:uiPriority w:val="0"/>
    <w:rPr>
      <w:rFonts w:eastAsia="仿宋_GB2312"/>
      <w:kern w:val="2"/>
      <w:sz w:val="18"/>
      <w:szCs w:val="18"/>
    </w:rPr>
  </w:style>
  <w:style w:type="character" w:customStyle="1" w:styleId="20">
    <w:name w:val="页脚 Char"/>
    <w:basedOn w:val="9"/>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Pages>
  <Words>431</Words>
  <Characters>2459</Characters>
  <Lines>20</Lines>
  <Paragraphs>5</Paragraphs>
  <TotalTime>19</TotalTime>
  <ScaleCrop>false</ScaleCrop>
  <LinksUpToDate>false</LinksUpToDate>
  <CharactersWithSpaces>2885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2025-05-28T06:35:00Z</dcterms:created>
  <dc:creator>叶菲</dc:creator>
  <cp:lastModifiedBy>zlx</cp:lastModifiedBy>
  <cp:lastPrinted>2025-05-27T09:49:00Z</cp:lastPrinted>
  <dcterms:modified xsi:type="dcterms:W3CDTF">2025-06-30T14:37:50Z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DFFFEA5CB11148ACA2B46124BA57600C</vt:lpwstr>
  </property>
</Properties>
</file>